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41002B" w:rsidRPr="00883549" w:rsidRDefault="00013508" w:rsidP="00883549">
      <w:pPr>
        <w:shd w:val="clear" w:color="auto" w:fill="D9D9D9" w:themeFill="background1" w:themeFillShade="D9"/>
        <w:spacing w:line="360" w:lineRule="auto"/>
        <w:jc w:val="center"/>
        <w:rPr>
          <w:rFonts w:ascii="Tahoma" w:eastAsia="Times New Roman" w:hAnsi="Tahoma"/>
          <w:b/>
          <w:bCs/>
          <w:sz w:val="24"/>
          <w:rtl/>
        </w:rPr>
      </w:pPr>
      <w:r w:rsidRPr="00883549">
        <w:rPr>
          <w:rFonts w:ascii="Tahoma" w:eastAsia="Times New Roman" w:hAnsi="Tahoma"/>
          <w:b/>
          <w:bCs/>
          <w:sz w:val="24"/>
          <w:rtl/>
        </w:rPr>
        <w:t>بسم الله الرحمن الرحیم</w:t>
      </w:r>
    </w:p>
    <w:p w:rsidR="0041002B" w:rsidRPr="00883549" w:rsidRDefault="0041002B" w:rsidP="00883549">
      <w:pPr>
        <w:shd w:val="clear" w:color="auto" w:fill="D9D9D9" w:themeFill="background1" w:themeFillShade="D9"/>
        <w:spacing w:line="360" w:lineRule="auto"/>
        <w:jc w:val="lowKashida"/>
        <w:rPr>
          <w:rFonts w:ascii="Tahoma" w:eastAsia="Times New Roman" w:hAnsi="Tahoma"/>
          <w:b/>
          <w:bCs/>
          <w:sz w:val="24"/>
          <w:rtl/>
        </w:rPr>
      </w:pPr>
      <w:r w:rsidRPr="00883549">
        <w:rPr>
          <w:rFonts w:ascii="Tahoma" w:hAnsi="Tahoma"/>
          <w:b/>
          <w:bCs/>
          <w:color w:val="000000" w:themeColor="text1"/>
          <w:sz w:val="24"/>
          <w:rtl/>
        </w:rPr>
        <w:t>فقه التعامل و التعایش مع مختلف الملل و النحل</w:t>
      </w:r>
      <w:r w:rsidRPr="00883549">
        <w:rPr>
          <w:rFonts w:ascii="Tahoma" w:eastAsia="Times New Roman" w:hAnsi="Tahoma"/>
          <w:b/>
          <w:bCs/>
          <w:sz w:val="24"/>
          <w:rtl/>
        </w:rPr>
        <w:t xml:space="preserve"> </w:t>
      </w:r>
    </w:p>
    <w:p w:rsidR="00013508" w:rsidRPr="00883549" w:rsidRDefault="00013508" w:rsidP="00883549">
      <w:pPr>
        <w:shd w:val="clear" w:color="auto" w:fill="D9D9D9" w:themeFill="background1" w:themeFillShade="D9"/>
        <w:spacing w:line="360" w:lineRule="auto"/>
        <w:ind w:firstLine="720"/>
        <w:jc w:val="lowKashida"/>
        <w:rPr>
          <w:rFonts w:ascii="Tahoma" w:eastAsia="Times New Roman" w:hAnsi="Tahoma"/>
          <w:b/>
          <w:bCs/>
          <w:sz w:val="24"/>
        </w:rPr>
      </w:pPr>
      <w:r w:rsidRPr="00883549">
        <w:rPr>
          <w:rFonts w:ascii="Tahoma" w:eastAsia="Times New Roman" w:hAnsi="Tahoma"/>
          <w:b/>
          <w:bCs/>
          <w:sz w:val="24"/>
          <w:rtl/>
        </w:rPr>
        <w:t>طهارت یا نجاست غیر مسلم</w:t>
      </w:r>
    </w:p>
    <w:p w:rsidR="00013508" w:rsidRPr="00883549" w:rsidRDefault="00013508" w:rsidP="006E63FD">
      <w:pPr>
        <w:shd w:val="clear" w:color="auto" w:fill="D9D9D9" w:themeFill="background1" w:themeFillShade="D9"/>
        <w:spacing w:line="360" w:lineRule="auto"/>
        <w:jc w:val="lowKashida"/>
        <w:rPr>
          <w:rFonts w:ascii="Tahoma" w:eastAsia="Times New Roman" w:hAnsi="Tahoma"/>
          <w:b/>
          <w:bCs/>
          <w:sz w:val="24"/>
        </w:rPr>
      </w:pPr>
      <w:r w:rsidRPr="00883549">
        <w:rPr>
          <w:rFonts w:ascii="Tahoma" w:eastAsia="Times New Roman" w:hAnsi="Tahoma"/>
          <w:b/>
          <w:bCs/>
          <w:sz w:val="24"/>
          <w:rtl/>
        </w:rPr>
        <w:tab/>
      </w:r>
      <w:r w:rsidRPr="00883549">
        <w:rPr>
          <w:rFonts w:ascii="Tahoma" w:eastAsia="Times New Roman" w:hAnsi="Tahoma"/>
          <w:b/>
          <w:bCs/>
          <w:sz w:val="24"/>
          <w:rtl/>
        </w:rPr>
        <w:tab/>
        <w:t>بررسی روایات</w:t>
      </w:r>
    </w:p>
    <w:p w:rsidR="00CA60B6" w:rsidRPr="00883549" w:rsidRDefault="00013508" w:rsidP="002811C9">
      <w:pPr>
        <w:shd w:val="clear" w:color="auto" w:fill="D9D9D9" w:themeFill="background1" w:themeFillShade="D9"/>
        <w:spacing w:line="360" w:lineRule="auto"/>
        <w:jc w:val="lowKashida"/>
        <w:rPr>
          <w:rFonts w:ascii="Tahoma" w:eastAsia="Times New Roman" w:hAnsi="Tahoma"/>
          <w:b/>
          <w:bCs/>
          <w:sz w:val="24"/>
        </w:rPr>
      </w:pPr>
      <w:r w:rsidRPr="00883549">
        <w:rPr>
          <w:rFonts w:ascii="Tahoma" w:eastAsia="Times New Roman" w:hAnsi="Tahoma"/>
          <w:b/>
          <w:bCs/>
          <w:sz w:val="24"/>
          <w:rtl/>
        </w:rPr>
        <w:tab/>
      </w:r>
      <w:r w:rsidRPr="00883549">
        <w:rPr>
          <w:rFonts w:ascii="Tahoma" w:eastAsia="Times New Roman" w:hAnsi="Tahoma"/>
          <w:b/>
          <w:bCs/>
          <w:sz w:val="24"/>
          <w:rtl/>
        </w:rPr>
        <w:tab/>
      </w:r>
      <w:r w:rsidRPr="00883549">
        <w:rPr>
          <w:rFonts w:ascii="Tahoma" w:eastAsia="Times New Roman" w:hAnsi="Tahoma"/>
          <w:b/>
          <w:bCs/>
          <w:sz w:val="24"/>
          <w:rtl/>
        </w:rPr>
        <w:tab/>
        <w:t>روایات قائلین به نجاست</w:t>
      </w:r>
    </w:p>
    <w:p w:rsidR="00013508" w:rsidRDefault="00013508" w:rsidP="00E8295A">
      <w:pPr>
        <w:shd w:val="clear" w:color="auto" w:fill="D9D9D9" w:themeFill="background1" w:themeFillShade="D9"/>
        <w:spacing w:line="360" w:lineRule="auto"/>
        <w:jc w:val="lowKashida"/>
        <w:rPr>
          <w:rFonts w:ascii="Tahoma" w:eastAsia="Times New Roman" w:hAnsi="Tahoma"/>
          <w:b/>
          <w:bCs/>
          <w:sz w:val="24"/>
          <w:rtl/>
        </w:rPr>
      </w:pPr>
      <w:r w:rsidRPr="00883549">
        <w:rPr>
          <w:rFonts w:ascii="Tahoma" w:eastAsia="Times New Roman" w:hAnsi="Tahoma"/>
          <w:b/>
          <w:bCs/>
          <w:sz w:val="24"/>
          <w:rtl/>
        </w:rPr>
        <w:t xml:space="preserve">جلسه </w:t>
      </w:r>
      <w:r w:rsidR="007A341C" w:rsidRPr="00883549">
        <w:rPr>
          <w:rFonts w:ascii="Tahoma" w:eastAsia="Times New Roman" w:hAnsi="Tahoma"/>
          <w:b/>
          <w:bCs/>
          <w:sz w:val="24"/>
          <w:rtl/>
        </w:rPr>
        <w:t>پنجاه</w:t>
      </w:r>
      <w:r w:rsidR="00F44CC0" w:rsidRPr="00883549">
        <w:rPr>
          <w:rFonts w:ascii="Tahoma" w:eastAsia="Times New Roman" w:hAnsi="Tahoma"/>
          <w:b/>
          <w:bCs/>
          <w:sz w:val="24"/>
          <w:rtl/>
        </w:rPr>
        <w:t xml:space="preserve"> و </w:t>
      </w:r>
      <w:r w:rsidR="00E8295A">
        <w:rPr>
          <w:rFonts w:ascii="Tahoma" w:eastAsia="Times New Roman" w:hAnsi="Tahoma" w:hint="cs"/>
          <w:b/>
          <w:bCs/>
          <w:sz w:val="24"/>
          <w:rtl/>
        </w:rPr>
        <w:t>هفت</w:t>
      </w:r>
      <w:r w:rsidR="007A341C" w:rsidRPr="00883549">
        <w:rPr>
          <w:rFonts w:ascii="Tahoma" w:eastAsia="Times New Roman" w:hAnsi="Tahoma"/>
          <w:b/>
          <w:bCs/>
          <w:sz w:val="24"/>
          <w:rtl/>
        </w:rPr>
        <w:t>م</w:t>
      </w:r>
      <w:r w:rsidRPr="00883549">
        <w:rPr>
          <w:rFonts w:ascii="Tahoma" w:eastAsia="Times New Roman" w:hAnsi="Tahoma"/>
          <w:b/>
          <w:bCs/>
          <w:sz w:val="24"/>
          <w:rtl/>
        </w:rPr>
        <w:t xml:space="preserve">_ </w:t>
      </w:r>
      <w:r w:rsidR="00E8295A">
        <w:rPr>
          <w:rFonts w:ascii="Tahoma" w:eastAsia="Times New Roman" w:hAnsi="Tahoma" w:hint="cs"/>
          <w:b/>
          <w:bCs/>
          <w:sz w:val="24"/>
          <w:rtl/>
        </w:rPr>
        <w:t>2</w:t>
      </w:r>
      <w:r w:rsidRPr="00883549">
        <w:rPr>
          <w:rFonts w:ascii="Tahoma" w:eastAsia="Times New Roman" w:hAnsi="Tahoma"/>
          <w:b/>
          <w:bCs/>
          <w:sz w:val="24"/>
          <w:rtl/>
        </w:rPr>
        <w:t xml:space="preserve"> </w:t>
      </w:r>
      <w:r w:rsidR="006B7C34">
        <w:rPr>
          <w:rFonts w:ascii="Tahoma" w:eastAsia="Times New Roman" w:hAnsi="Tahoma" w:hint="cs"/>
          <w:b/>
          <w:bCs/>
          <w:sz w:val="24"/>
          <w:rtl/>
        </w:rPr>
        <w:t>اسفند</w:t>
      </w:r>
      <w:r w:rsidRPr="00883549">
        <w:rPr>
          <w:rFonts w:ascii="Tahoma" w:eastAsia="Times New Roman" w:hAnsi="Tahoma"/>
          <w:b/>
          <w:bCs/>
          <w:sz w:val="24"/>
          <w:rtl/>
        </w:rPr>
        <w:t xml:space="preserve"> 95</w:t>
      </w:r>
    </w:p>
    <w:p w:rsidR="00021025" w:rsidRDefault="00E8295A" w:rsidP="00021025">
      <w:pPr>
        <w:shd w:val="clear" w:color="auto" w:fill="D9D9D9" w:themeFill="background1" w:themeFillShade="D9"/>
        <w:spacing w:line="360" w:lineRule="auto"/>
        <w:jc w:val="lowKashida"/>
        <w:rPr>
          <w:rFonts w:ascii="Tahoma" w:eastAsia="Times New Roman" w:hAnsi="Tahoma"/>
          <w:sz w:val="24"/>
        </w:rPr>
      </w:pPr>
      <w:r w:rsidRPr="004B78BC">
        <w:rPr>
          <w:rFonts w:ascii="Tahoma" w:eastAsia="Times New Roman" w:hAnsi="Tahoma" w:hint="cs"/>
          <w:b/>
          <w:bCs/>
          <w:sz w:val="24"/>
          <w:rtl/>
        </w:rPr>
        <w:t>روایت دیگری</w:t>
      </w:r>
      <w:r>
        <w:rPr>
          <w:rFonts w:ascii="Tahoma" w:eastAsia="Times New Roman" w:hAnsi="Tahoma" w:hint="cs"/>
          <w:sz w:val="24"/>
          <w:rtl/>
        </w:rPr>
        <w:t xml:space="preserve"> که ممکن</w:t>
      </w:r>
      <w:r w:rsidR="004B78BC">
        <w:rPr>
          <w:rFonts w:ascii="Tahoma" w:eastAsia="Times New Roman" w:hAnsi="Tahoma" w:hint="cs"/>
          <w:sz w:val="24"/>
          <w:rtl/>
        </w:rPr>
        <w:t xml:space="preserve"> است</w:t>
      </w:r>
      <w:r>
        <w:rPr>
          <w:rFonts w:ascii="Tahoma" w:eastAsia="Times New Roman" w:hAnsi="Tahoma" w:hint="cs"/>
          <w:sz w:val="24"/>
          <w:rtl/>
        </w:rPr>
        <w:t xml:space="preserve"> مورد تمسک قرار بگیرد برای اثبات نجاست اهل کتاب، این روایت است که در کافی ج</w:t>
      </w:r>
      <w:r w:rsidR="003E1F20">
        <w:rPr>
          <w:rFonts w:ascii="Tahoma" w:eastAsia="Times New Roman" w:hAnsi="Tahoma" w:hint="cs"/>
          <w:sz w:val="24"/>
          <w:rtl/>
        </w:rPr>
        <w:t>لد</w:t>
      </w:r>
      <w:r>
        <w:rPr>
          <w:rFonts w:ascii="Tahoma" w:eastAsia="Times New Roman" w:hAnsi="Tahoma" w:hint="cs"/>
          <w:sz w:val="24"/>
          <w:rtl/>
        </w:rPr>
        <w:t xml:space="preserve"> 6، صفحۀ 240؛ وسائل ج</w:t>
      </w:r>
      <w:r w:rsidR="003E1F20">
        <w:rPr>
          <w:rFonts w:ascii="Tahoma" w:eastAsia="Times New Roman" w:hAnsi="Tahoma" w:hint="cs"/>
          <w:sz w:val="24"/>
          <w:rtl/>
        </w:rPr>
        <w:t>لد</w:t>
      </w:r>
      <w:r>
        <w:rPr>
          <w:rFonts w:ascii="Tahoma" w:eastAsia="Times New Roman" w:hAnsi="Tahoma" w:hint="cs"/>
          <w:sz w:val="24"/>
          <w:rtl/>
        </w:rPr>
        <w:t xml:space="preserve"> 24، ص</w:t>
      </w:r>
      <w:r w:rsidR="003E1F20">
        <w:rPr>
          <w:rFonts w:ascii="Tahoma" w:eastAsia="Times New Roman" w:hAnsi="Tahoma" w:hint="cs"/>
          <w:sz w:val="24"/>
          <w:rtl/>
        </w:rPr>
        <w:t>فحۀ</w:t>
      </w:r>
      <w:r>
        <w:rPr>
          <w:rFonts w:ascii="Tahoma" w:eastAsia="Times New Roman" w:hAnsi="Tahoma" w:hint="cs"/>
          <w:sz w:val="24"/>
          <w:rtl/>
        </w:rPr>
        <w:t xml:space="preserve"> 55، باب 27، ابواب ذبائح، حدیث 10:</w:t>
      </w:r>
    </w:p>
    <w:p w:rsidR="00E8295A" w:rsidRDefault="00E8295A" w:rsidP="00E8295A">
      <w:pPr>
        <w:shd w:val="clear" w:color="auto" w:fill="D9D9D9" w:themeFill="background1" w:themeFillShade="D9"/>
        <w:spacing w:line="360" w:lineRule="auto"/>
        <w:jc w:val="lowKashida"/>
        <w:rPr>
          <w:rFonts w:ascii="Tahoma" w:eastAsia="Times New Roman" w:hAnsi="Tahoma"/>
          <w:sz w:val="24"/>
          <w:rtl/>
        </w:rPr>
      </w:pPr>
      <w:r>
        <w:rPr>
          <w:rFonts w:ascii="Tahoma" w:eastAsia="Times New Roman" w:hAnsi="Tahoma" w:hint="cs"/>
          <w:sz w:val="24"/>
          <w:rtl/>
        </w:rPr>
        <w:t>سند شیخ:</w:t>
      </w:r>
    </w:p>
    <w:p w:rsidR="00E03B2D" w:rsidRDefault="00E8295A" w:rsidP="00E03B2D">
      <w:pPr>
        <w:spacing w:before="100" w:beforeAutospacing="1" w:after="100" w:afterAutospacing="1" w:line="360" w:lineRule="auto"/>
        <w:jc w:val="lowKashida"/>
        <w:rPr>
          <w:rFonts w:ascii="Tahoma" w:eastAsia="Times New Roman" w:hAnsi="Tahoma"/>
          <w:sz w:val="24"/>
          <w:rtl/>
        </w:rPr>
      </w:pPr>
      <w:r w:rsidRPr="00E8295A">
        <w:rPr>
          <w:rFonts w:ascii="Tahoma" w:eastAsia="Times New Roman" w:hAnsi="Tahoma" w:hint="cs"/>
          <w:sz w:val="24"/>
          <w:rtl/>
        </w:rPr>
        <w:t>وَ رَوَاهُ الشَّيْخُ بِإِسْنَادِهِ عَنِ الْحُسَيْنِ بْنِ سَعِيدٍ عَنْ مُحَمَّدِ بْنِ سِنَانٍ‏</w:t>
      </w:r>
      <w:r w:rsidRPr="00E8295A">
        <w:rPr>
          <w:rFonts w:ascii="Tahoma" w:eastAsia="Times New Roman" w:hAnsi="Tahoma"/>
          <w:sz w:val="24"/>
          <w:vertAlign w:val="superscript"/>
          <w:rtl/>
        </w:rPr>
        <w:footnoteReference w:id="1"/>
      </w:r>
    </w:p>
    <w:p w:rsidR="00E8295A" w:rsidRDefault="00E8295A" w:rsidP="00E03B2D">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سند کافی:</w:t>
      </w:r>
    </w:p>
    <w:p w:rsidR="00E8295A" w:rsidRPr="00E8295A" w:rsidRDefault="00E8295A" w:rsidP="004442C3">
      <w:pPr>
        <w:spacing w:before="100" w:beforeAutospacing="1" w:after="100" w:afterAutospacing="1" w:line="360" w:lineRule="auto"/>
        <w:jc w:val="lowKashida"/>
        <w:rPr>
          <w:rFonts w:ascii="Tahoma" w:eastAsia="Times New Roman" w:hAnsi="Tahoma"/>
          <w:sz w:val="24"/>
        </w:rPr>
      </w:pPr>
      <w:r w:rsidRPr="00E8295A">
        <w:rPr>
          <w:rFonts w:ascii="Tahoma" w:eastAsia="Times New Roman" w:hAnsi="Tahoma" w:hint="cs"/>
          <w:sz w:val="24"/>
          <w:rtl/>
        </w:rPr>
        <w:t xml:space="preserve">وَ عَنْهُ </w:t>
      </w:r>
      <w:r w:rsidR="003E1F20">
        <w:rPr>
          <w:rFonts w:ascii="Tahoma" w:eastAsia="Times New Roman" w:hAnsi="Tahoma" w:hint="cs"/>
          <w:sz w:val="24"/>
          <w:rtl/>
        </w:rPr>
        <w:t>(َ</w:t>
      </w:r>
      <w:r w:rsidRPr="004442C3">
        <w:rPr>
          <w:rFonts w:ascii="Tahoma" w:eastAsia="Times New Roman" w:hAnsi="Tahoma" w:hint="cs"/>
          <w:sz w:val="24"/>
          <w:rtl/>
        </w:rPr>
        <w:t>عَنْ مُحَمَّدِ بْنِ يَحْيَى‏)</w:t>
      </w:r>
      <w:r w:rsidR="003E1F20">
        <w:rPr>
          <w:rFonts w:ascii="Tahoma" w:eastAsia="Times New Roman" w:hAnsi="Tahoma" w:hint="cs"/>
          <w:sz w:val="24"/>
          <w:rtl/>
        </w:rPr>
        <w:t xml:space="preserve"> </w:t>
      </w:r>
      <w:r w:rsidRPr="00E8295A">
        <w:rPr>
          <w:rFonts w:ascii="Tahoma" w:eastAsia="Times New Roman" w:hAnsi="Tahoma" w:hint="cs"/>
          <w:sz w:val="24"/>
          <w:rtl/>
        </w:rPr>
        <w:t>عَنْ أَحْمَدَ بْنِ مُحَمَّدٍ عَنِ ابْنِ سِنَانٍ عَنْ إِسْمَاعِيلَ بْنِ جَابِرٍ قَالَ: قَالَ لِي</w:t>
      </w:r>
      <w:r w:rsidR="001D4124">
        <w:rPr>
          <w:rFonts w:ascii="Tahoma" w:eastAsia="Times New Roman" w:hAnsi="Tahoma" w:hint="cs"/>
          <w:sz w:val="24"/>
          <w:rtl/>
        </w:rPr>
        <w:t xml:space="preserve"> أَبُو عَبْدِ اللَّهِ علیه السلام</w:t>
      </w:r>
    </w:p>
    <w:p w:rsidR="00E8295A" w:rsidRDefault="00E8295A" w:rsidP="00E8295A">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پس دو سند منتهی می شود به محمد بن سنان و بعد اسماعیل بن جابر</w:t>
      </w:r>
      <w:r w:rsidR="003E1F20">
        <w:rPr>
          <w:rFonts w:ascii="Tahoma" w:eastAsia="Times New Roman" w:hAnsi="Tahoma" w:hint="cs"/>
          <w:sz w:val="24"/>
          <w:rtl/>
        </w:rPr>
        <w:t>.</w:t>
      </w:r>
    </w:p>
    <w:p w:rsidR="00E8295A" w:rsidRDefault="003E1F20" w:rsidP="00E8295A">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یکی از بحث</w:t>
      </w:r>
      <w:r>
        <w:rPr>
          <w:rFonts w:ascii="Tahoma" w:eastAsia="Times New Roman" w:hAnsi="Tahoma" w:hint="eastAsia"/>
          <w:sz w:val="24"/>
          <w:rtl/>
        </w:rPr>
        <w:t>‌</w:t>
      </w:r>
      <w:r w:rsidR="00E8295A">
        <w:rPr>
          <w:rFonts w:ascii="Tahoma" w:eastAsia="Times New Roman" w:hAnsi="Tahoma" w:hint="cs"/>
          <w:sz w:val="24"/>
          <w:rtl/>
        </w:rPr>
        <w:t>هایی ک</w:t>
      </w:r>
      <w:r w:rsidR="007D54DF">
        <w:rPr>
          <w:rFonts w:ascii="Tahoma" w:eastAsia="Times New Roman" w:hAnsi="Tahoma" w:hint="cs"/>
          <w:sz w:val="24"/>
          <w:rtl/>
        </w:rPr>
        <w:t xml:space="preserve">ه </w:t>
      </w:r>
      <w:r w:rsidR="00E8295A">
        <w:rPr>
          <w:rFonts w:ascii="Tahoma" w:eastAsia="Times New Roman" w:hAnsi="Tahoma" w:hint="cs"/>
          <w:sz w:val="24"/>
          <w:rtl/>
        </w:rPr>
        <w:t>د</w:t>
      </w:r>
      <w:r w:rsidR="007D54DF">
        <w:rPr>
          <w:rFonts w:ascii="Tahoma" w:eastAsia="Times New Roman" w:hAnsi="Tahoma" w:hint="cs"/>
          <w:sz w:val="24"/>
          <w:rtl/>
        </w:rPr>
        <w:t>ر</w:t>
      </w:r>
      <w:r w:rsidR="00E8295A">
        <w:rPr>
          <w:rFonts w:ascii="Tahoma" w:eastAsia="Times New Roman" w:hAnsi="Tahoma" w:hint="cs"/>
          <w:sz w:val="24"/>
          <w:rtl/>
        </w:rPr>
        <w:t xml:space="preserve"> رجال معرکه آراء است بحث محمد بن سنان است. از بعضی از روایات و کلمات وثاقت ایشان استفاده می شود و حتی تعبیر این است که جزء اصحاب سرّ ائمه علیهم السلام بوده است. از بعضی از تعابیر ضعف ایشان استفاده می شود. ما این بحث را مفصل داشته ایم در همین مباحث فقه و به این نتیجه رسیدیم که جناب محمد بن سنان موثق است.</w:t>
      </w:r>
    </w:p>
    <w:p w:rsidR="00E8295A" w:rsidRDefault="004B78BC" w:rsidP="00E8295A">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w:t>
      </w:r>
      <w:r w:rsidR="00E8295A">
        <w:rPr>
          <w:rFonts w:ascii="Tahoma" w:eastAsia="Times New Roman" w:hAnsi="Tahoma" w:hint="cs"/>
          <w:sz w:val="24"/>
          <w:rtl/>
        </w:rPr>
        <w:t>اسماعیل بن جابر</w:t>
      </w:r>
      <w:r>
        <w:rPr>
          <w:rFonts w:ascii="Tahoma" w:eastAsia="Times New Roman" w:hAnsi="Tahoma" w:hint="cs"/>
          <w:sz w:val="24"/>
          <w:rtl/>
        </w:rPr>
        <w:t>»</w:t>
      </w:r>
      <w:r w:rsidR="00E8295A">
        <w:rPr>
          <w:rFonts w:ascii="Tahoma" w:eastAsia="Times New Roman" w:hAnsi="Tahoma" w:hint="cs"/>
          <w:sz w:val="24"/>
          <w:rtl/>
        </w:rPr>
        <w:t xml:space="preserve"> هم</w:t>
      </w:r>
      <w:r>
        <w:rPr>
          <w:rFonts w:ascii="Tahoma" w:eastAsia="Times New Roman" w:hAnsi="Tahoma" w:hint="cs"/>
          <w:sz w:val="24"/>
          <w:rtl/>
        </w:rPr>
        <w:t>،</w:t>
      </w:r>
      <w:r w:rsidR="00E8295A">
        <w:rPr>
          <w:rFonts w:ascii="Tahoma" w:eastAsia="Times New Roman" w:hAnsi="Tahoma" w:hint="cs"/>
          <w:sz w:val="24"/>
          <w:rtl/>
        </w:rPr>
        <w:t xml:space="preserve"> </w:t>
      </w:r>
      <w:r w:rsidR="001D4124">
        <w:rPr>
          <w:rFonts w:ascii="Tahoma" w:eastAsia="Times New Roman" w:hAnsi="Tahoma" w:hint="cs"/>
          <w:sz w:val="24"/>
          <w:rtl/>
        </w:rPr>
        <w:t>«</w:t>
      </w:r>
      <w:r w:rsidR="00E8295A">
        <w:rPr>
          <w:rFonts w:ascii="Tahoma" w:eastAsia="Times New Roman" w:hAnsi="Tahoma" w:hint="cs"/>
          <w:sz w:val="24"/>
          <w:rtl/>
        </w:rPr>
        <w:t>اسماعیل بن جابر الجوفی</w:t>
      </w:r>
      <w:r w:rsidR="001D4124">
        <w:rPr>
          <w:rFonts w:ascii="Tahoma" w:eastAsia="Times New Roman" w:hAnsi="Tahoma" w:hint="cs"/>
          <w:sz w:val="24"/>
          <w:rtl/>
        </w:rPr>
        <w:t>»</w:t>
      </w:r>
      <w:r w:rsidR="00E8295A">
        <w:rPr>
          <w:rFonts w:ascii="Tahoma" w:eastAsia="Times New Roman" w:hAnsi="Tahoma" w:hint="cs"/>
          <w:sz w:val="24"/>
          <w:rtl/>
        </w:rPr>
        <w:t xml:space="preserve"> یا </w:t>
      </w:r>
      <w:r w:rsidR="001D4124">
        <w:rPr>
          <w:rFonts w:ascii="Tahoma" w:eastAsia="Times New Roman" w:hAnsi="Tahoma" w:hint="cs"/>
          <w:sz w:val="24"/>
          <w:rtl/>
        </w:rPr>
        <w:t>«</w:t>
      </w:r>
      <w:r w:rsidR="00E8295A">
        <w:rPr>
          <w:rFonts w:ascii="Tahoma" w:eastAsia="Times New Roman" w:hAnsi="Tahoma" w:hint="cs"/>
          <w:sz w:val="24"/>
          <w:rtl/>
        </w:rPr>
        <w:t>خثعمی</w:t>
      </w:r>
      <w:r w:rsidR="001D4124">
        <w:rPr>
          <w:rFonts w:ascii="Tahoma" w:eastAsia="Times New Roman" w:hAnsi="Tahoma" w:hint="cs"/>
          <w:sz w:val="24"/>
          <w:rtl/>
        </w:rPr>
        <w:t>»</w:t>
      </w:r>
      <w:r>
        <w:rPr>
          <w:rFonts w:ascii="Tahoma" w:eastAsia="Times New Roman" w:hAnsi="Tahoma" w:hint="cs"/>
          <w:sz w:val="24"/>
          <w:rtl/>
        </w:rPr>
        <w:t xml:space="preserve"> است که</w:t>
      </w:r>
      <w:r w:rsidR="00E8295A">
        <w:rPr>
          <w:rFonts w:ascii="Tahoma" w:eastAsia="Times New Roman" w:hAnsi="Tahoma" w:hint="cs"/>
          <w:sz w:val="24"/>
          <w:rtl/>
        </w:rPr>
        <w:t xml:space="preserve"> ثقه است.</w:t>
      </w:r>
    </w:p>
    <w:p w:rsidR="00E8295A" w:rsidRDefault="00E8295A" w:rsidP="004B78BC">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پس روایت علی المبنا است اگر کسی محمد بن سنان را </w:t>
      </w:r>
      <w:r w:rsidR="004B78BC">
        <w:rPr>
          <w:rFonts w:ascii="Tahoma" w:eastAsia="Times New Roman" w:hAnsi="Tahoma" w:hint="cs"/>
          <w:sz w:val="24"/>
          <w:rtl/>
        </w:rPr>
        <w:t>ثقه دانست،</w:t>
      </w:r>
      <w:r>
        <w:rPr>
          <w:rFonts w:ascii="Tahoma" w:eastAsia="Times New Roman" w:hAnsi="Tahoma" w:hint="cs"/>
          <w:sz w:val="24"/>
          <w:rtl/>
        </w:rPr>
        <w:t xml:space="preserve"> روایت معتبر است</w:t>
      </w:r>
      <w:r w:rsidR="003E1F20">
        <w:rPr>
          <w:rFonts w:ascii="Tahoma" w:eastAsia="Times New Roman" w:hAnsi="Tahoma" w:hint="cs"/>
          <w:sz w:val="24"/>
          <w:rtl/>
        </w:rPr>
        <w:t>.</w:t>
      </w:r>
    </w:p>
    <w:p w:rsidR="00E8295A" w:rsidRPr="00E8295A" w:rsidRDefault="00E8295A" w:rsidP="004442C3">
      <w:pPr>
        <w:spacing w:before="100" w:beforeAutospacing="1" w:after="100" w:afterAutospacing="1" w:line="360" w:lineRule="auto"/>
        <w:jc w:val="lowKashida"/>
        <w:rPr>
          <w:rFonts w:ascii="Tahoma" w:eastAsia="Times New Roman" w:hAnsi="Tahoma"/>
          <w:sz w:val="24"/>
        </w:rPr>
      </w:pPr>
      <w:r w:rsidRPr="00E8295A">
        <w:rPr>
          <w:rFonts w:ascii="Tahoma" w:eastAsia="Times New Roman" w:hAnsi="Tahoma" w:hint="cs"/>
          <w:sz w:val="24"/>
          <w:rtl/>
        </w:rPr>
        <w:lastRenderedPageBreak/>
        <w:t>قَالَ: قَالَ لِي أَبُو عَبْدِ اللَّهِ ع‏ لَا تَأْكُلْ ذَبَائِحَهُمْ وَ لَا تَأْكُلْ فِي آنِيَتِهِمْ يَعْنِي أَهْلَ الْكِتَابِ.</w:t>
      </w:r>
    </w:p>
    <w:p w:rsidR="00E8295A" w:rsidRDefault="00E8295A" w:rsidP="00E8295A">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این </w:t>
      </w:r>
      <w:r w:rsidR="004B78BC">
        <w:rPr>
          <w:rFonts w:ascii="Tahoma" w:eastAsia="Times New Roman" w:hAnsi="Tahoma" w:hint="cs"/>
          <w:sz w:val="24"/>
          <w:rtl/>
        </w:rPr>
        <w:t>«</w:t>
      </w:r>
      <w:r>
        <w:rPr>
          <w:rFonts w:ascii="Tahoma" w:eastAsia="Times New Roman" w:hAnsi="Tahoma" w:hint="cs"/>
          <w:sz w:val="24"/>
          <w:rtl/>
        </w:rPr>
        <w:t>یعنی</w:t>
      </w:r>
      <w:r w:rsidR="004B78BC">
        <w:rPr>
          <w:rFonts w:ascii="Tahoma" w:eastAsia="Times New Roman" w:hAnsi="Tahoma" w:hint="cs"/>
          <w:sz w:val="24"/>
          <w:rtl/>
        </w:rPr>
        <w:t>»</w:t>
      </w:r>
      <w:r>
        <w:rPr>
          <w:rFonts w:ascii="Tahoma" w:eastAsia="Times New Roman" w:hAnsi="Tahoma" w:hint="cs"/>
          <w:sz w:val="24"/>
          <w:rtl/>
        </w:rPr>
        <w:t xml:space="preserve"> یا از خود اسماعیل است. یعنی می گوید امام مراد اش اهل کتاب بود یا ان کسانی که دارند آن حدیث را نقل می کنند به نقل از اسماعیل بن جابر ان ها گفته اند.</w:t>
      </w:r>
    </w:p>
    <w:p w:rsidR="00E8295A" w:rsidRDefault="00E8295A" w:rsidP="00E8295A">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کسی که به این روایت تمسک می کند می گوید </w:t>
      </w:r>
      <w:r w:rsidR="003E1F20">
        <w:rPr>
          <w:rFonts w:ascii="Tahoma" w:eastAsia="Times New Roman" w:hAnsi="Tahoma" w:hint="cs"/>
          <w:sz w:val="24"/>
          <w:rtl/>
        </w:rPr>
        <w:t>«</w:t>
      </w:r>
      <w:r>
        <w:rPr>
          <w:rFonts w:ascii="Tahoma" w:eastAsia="Times New Roman" w:hAnsi="Tahoma" w:hint="cs"/>
          <w:sz w:val="24"/>
          <w:rtl/>
        </w:rPr>
        <w:t>و لا تاکل فی آنیتهم</w:t>
      </w:r>
      <w:r w:rsidR="003E1F20">
        <w:rPr>
          <w:rFonts w:ascii="Tahoma" w:eastAsia="Times New Roman" w:hAnsi="Tahoma" w:hint="cs"/>
          <w:sz w:val="24"/>
          <w:rtl/>
        </w:rPr>
        <w:t>»</w:t>
      </w:r>
      <w:r w:rsidR="004B78BC">
        <w:rPr>
          <w:rFonts w:ascii="Tahoma" w:eastAsia="Times New Roman" w:hAnsi="Tahoma" w:hint="cs"/>
          <w:sz w:val="24"/>
          <w:rtl/>
        </w:rPr>
        <w:t xml:space="preserve"> وجهی ندارد</w:t>
      </w:r>
      <w:r>
        <w:rPr>
          <w:rFonts w:ascii="Tahoma" w:eastAsia="Times New Roman" w:hAnsi="Tahoma" w:hint="cs"/>
          <w:sz w:val="24"/>
          <w:rtl/>
        </w:rPr>
        <w:t xml:space="preserve"> مگر نجاست آنیه. و نجاست آنیه هم وجهی ندارد مگر نجاست خود اهل کتاب.</w:t>
      </w:r>
    </w:p>
    <w:p w:rsidR="00E8295A" w:rsidRDefault="00E8295A" w:rsidP="00E8295A">
      <w:pPr>
        <w:spacing w:before="100" w:beforeAutospacing="1" w:after="100" w:afterAutospacing="1" w:line="360" w:lineRule="auto"/>
        <w:jc w:val="lowKashida"/>
        <w:rPr>
          <w:rFonts w:ascii="Tahoma" w:eastAsia="Times New Roman" w:hAnsi="Tahoma" w:hint="cs"/>
          <w:sz w:val="24"/>
          <w:rtl/>
        </w:rPr>
      </w:pPr>
      <w:r>
        <w:rPr>
          <w:rFonts w:ascii="Tahoma" w:eastAsia="Times New Roman" w:hAnsi="Tahoma" w:hint="cs"/>
          <w:sz w:val="24"/>
          <w:rtl/>
        </w:rPr>
        <w:t xml:space="preserve">از جواب های قبل، جواب این استدلال هم داده می شود که </w:t>
      </w:r>
      <w:r w:rsidR="003E1F20">
        <w:rPr>
          <w:rFonts w:ascii="Tahoma" w:eastAsia="Times New Roman" w:hAnsi="Tahoma" w:hint="cs"/>
          <w:sz w:val="24"/>
          <w:rtl/>
        </w:rPr>
        <w:t>«</w:t>
      </w:r>
      <w:r>
        <w:rPr>
          <w:rFonts w:ascii="Tahoma" w:eastAsia="Times New Roman" w:hAnsi="Tahoma" w:hint="cs"/>
          <w:sz w:val="24"/>
          <w:rtl/>
        </w:rPr>
        <w:t>و لا تاکل فی آنیتهم</w:t>
      </w:r>
      <w:r w:rsidR="003E1F20">
        <w:rPr>
          <w:rFonts w:ascii="Tahoma" w:eastAsia="Times New Roman" w:hAnsi="Tahoma" w:hint="cs"/>
          <w:sz w:val="24"/>
          <w:rtl/>
        </w:rPr>
        <w:t>»</w:t>
      </w:r>
      <w:r>
        <w:rPr>
          <w:rFonts w:ascii="Tahoma" w:eastAsia="Times New Roman" w:hAnsi="Tahoma" w:hint="cs"/>
          <w:sz w:val="24"/>
          <w:rtl/>
        </w:rPr>
        <w:t xml:space="preserve"> اعم از این است که ظرف آن ها نجس باشد در اثر نجاست خود این ها</w:t>
      </w:r>
      <w:r w:rsidR="004B78BC">
        <w:rPr>
          <w:rFonts w:ascii="Tahoma" w:eastAsia="Times New Roman" w:hAnsi="Tahoma" w:hint="cs"/>
          <w:sz w:val="24"/>
          <w:rtl/>
        </w:rPr>
        <w:t>،</w:t>
      </w:r>
      <w:r>
        <w:rPr>
          <w:rFonts w:ascii="Tahoma" w:eastAsia="Times New Roman" w:hAnsi="Tahoma" w:hint="cs"/>
          <w:sz w:val="24"/>
          <w:rtl/>
        </w:rPr>
        <w:t xml:space="preserve"> یا نجاست ماکولات این ها که در این ظرف است از جمله ذبائح. و چون دقیقا مراد امام علیه السلام معلوم نیست. استدلال به روایت هم ممکن نخواهد بود.</w:t>
      </w:r>
    </w:p>
    <w:p w:rsidR="00E8295A" w:rsidRDefault="00E8295A" w:rsidP="004442C3">
      <w:pPr>
        <w:spacing w:before="100" w:beforeAutospacing="1" w:after="100" w:afterAutospacing="1" w:line="360" w:lineRule="auto"/>
        <w:jc w:val="lowKashida"/>
        <w:rPr>
          <w:rFonts w:ascii="Tahoma" w:eastAsia="Times New Roman" w:hAnsi="Tahoma"/>
          <w:sz w:val="24"/>
        </w:rPr>
      </w:pPr>
      <w:r w:rsidRPr="004B78BC">
        <w:rPr>
          <w:rFonts w:ascii="Tahoma" w:eastAsia="Times New Roman" w:hAnsi="Tahoma" w:hint="cs"/>
          <w:b/>
          <w:bCs/>
          <w:sz w:val="24"/>
          <w:rtl/>
        </w:rPr>
        <w:t>روایت بعدی</w:t>
      </w:r>
      <w:r>
        <w:rPr>
          <w:rFonts w:ascii="Tahoma" w:eastAsia="Times New Roman" w:hAnsi="Tahoma" w:hint="cs"/>
          <w:sz w:val="24"/>
          <w:rtl/>
        </w:rPr>
        <w:t xml:space="preserve"> در وسائل الشیعه از </w:t>
      </w:r>
      <w:r w:rsidR="004442C3">
        <w:rPr>
          <w:rFonts w:ascii="Tahoma" w:eastAsia="Times New Roman" w:hAnsi="Tahoma" w:hint="cs"/>
          <w:sz w:val="24"/>
          <w:rtl/>
        </w:rPr>
        <w:t>شیخ طوسی در تهذیب نقل می کند باب 73، ابواب نجاسات، حدیث 4، ج 3، ص 519:</w:t>
      </w:r>
    </w:p>
    <w:p w:rsidR="004442C3" w:rsidRDefault="004442C3" w:rsidP="004442C3">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شیخ به سند خود نقل می کند:</w:t>
      </w:r>
    </w:p>
    <w:p w:rsidR="004442C3" w:rsidRDefault="004442C3" w:rsidP="004442C3">
      <w:pPr>
        <w:spacing w:before="100" w:beforeAutospacing="1" w:after="100" w:afterAutospacing="1" w:line="360" w:lineRule="auto"/>
        <w:jc w:val="lowKashida"/>
        <w:rPr>
          <w:rFonts w:ascii="Tahoma" w:eastAsia="Times New Roman" w:hAnsi="Tahoma"/>
          <w:sz w:val="24"/>
          <w:rtl/>
        </w:rPr>
      </w:pPr>
      <w:r w:rsidRPr="004442C3">
        <w:rPr>
          <w:rFonts w:ascii="Tahoma" w:eastAsia="Times New Roman" w:hAnsi="Tahoma" w:hint="cs"/>
          <w:sz w:val="24"/>
          <w:rtl/>
        </w:rPr>
        <w:t xml:space="preserve">بِإِسْنَادِهِ عَنْ مُحَمَّدِ بْنِ أَحْمَدَ بْنِ يَحْيَى عَنِ الْعَمْرَكِيِّ عَنْ عَلِيِّ بْنِ جَعْفَرٍ عَنْ أَخِيهِ مُوسَى بْنِ جَعْفَرٍ ع فِي حَدِيثٍ </w:t>
      </w:r>
    </w:p>
    <w:p w:rsidR="004442C3" w:rsidRPr="004442C3" w:rsidRDefault="004442C3" w:rsidP="004442C3">
      <w:pPr>
        <w:spacing w:before="100" w:beforeAutospacing="1" w:after="100" w:afterAutospacing="1" w:line="360" w:lineRule="auto"/>
        <w:jc w:val="lowKashida"/>
        <w:rPr>
          <w:rFonts w:ascii="Tahoma" w:eastAsia="Times New Roman" w:hAnsi="Tahoma"/>
          <w:sz w:val="24"/>
        </w:rPr>
      </w:pPr>
      <w:r w:rsidRPr="004442C3">
        <w:rPr>
          <w:rFonts w:ascii="Tahoma" w:eastAsia="Times New Roman" w:hAnsi="Tahoma" w:hint="cs"/>
          <w:sz w:val="24"/>
          <w:rtl/>
        </w:rPr>
        <w:t>قَال‏</w:t>
      </w:r>
      <w:r>
        <w:rPr>
          <w:rFonts w:ascii="Tahoma" w:eastAsia="Times New Roman" w:hAnsi="Tahoma" w:hint="cs"/>
          <w:sz w:val="24"/>
          <w:rtl/>
        </w:rPr>
        <w:t xml:space="preserve"> </w:t>
      </w:r>
      <w:r w:rsidRPr="004442C3">
        <w:rPr>
          <w:rFonts w:ascii="Tahoma" w:eastAsia="Times New Roman" w:hAnsi="Tahoma" w:hint="cs"/>
          <w:sz w:val="24"/>
          <w:rtl/>
        </w:rPr>
        <w:t>سَأَلْتُهُ عَنِ الصَّلَاةِ عَلَى بَوَارِيِّ النَّصَارَى وَ الْيَهُودِ- الَّذِينَ يَقْعُدُونَ عَلَيْهَا فِي بُيُوتِهِمْ أَ تَصْلُحُ قَالَ لَا يُصَلَّى عَلَيْهَا.</w:t>
      </w:r>
    </w:p>
    <w:p w:rsidR="00034FF0" w:rsidRDefault="004442C3" w:rsidP="004442C3">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استدلال به این تقریب است که چون این </w:t>
      </w:r>
      <w:r w:rsidR="00034FF0">
        <w:rPr>
          <w:rFonts w:ascii="Tahoma" w:eastAsia="Times New Roman" w:hAnsi="Tahoma" w:hint="cs"/>
          <w:sz w:val="24"/>
          <w:rtl/>
        </w:rPr>
        <w:t>«</w:t>
      </w:r>
      <w:r>
        <w:rPr>
          <w:rFonts w:ascii="Tahoma" w:eastAsia="Times New Roman" w:hAnsi="Tahoma" w:hint="cs"/>
          <w:sz w:val="24"/>
          <w:rtl/>
        </w:rPr>
        <w:t>بواری</w:t>
      </w:r>
      <w:r w:rsidR="00034FF0">
        <w:rPr>
          <w:rFonts w:ascii="Tahoma" w:eastAsia="Times New Roman" w:hAnsi="Tahoma" w:hint="cs"/>
          <w:sz w:val="24"/>
          <w:rtl/>
        </w:rPr>
        <w:t>»</w:t>
      </w:r>
      <w:r>
        <w:rPr>
          <w:rFonts w:ascii="Tahoma" w:eastAsia="Times New Roman" w:hAnsi="Tahoma" w:hint="cs"/>
          <w:sz w:val="24"/>
          <w:rtl/>
        </w:rPr>
        <w:t xml:space="preserve"> در معرض اتصال با بدن آن هاست پس نجس شده است پس نماز در آنها به جا آورده نشود. </w:t>
      </w:r>
    </w:p>
    <w:p w:rsidR="004442C3" w:rsidRDefault="004442C3" w:rsidP="004442C3">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انصافا از این گونه تعابیر نجاست را کسی بخواهد استفاده کند بسیار مؤونه می برد. </w:t>
      </w:r>
      <w:r w:rsidR="00034FF0">
        <w:rPr>
          <w:rFonts w:ascii="Tahoma" w:eastAsia="Times New Roman" w:hAnsi="Tahoma" w:hint="cs"/>
          <w:sz w:val="24"/>
          <w:rtl/>
        </w:rPr>
        <w:t>«</w:t>
      </w:r>
      <w:r>
        <w:rPr>
          <w:rFonts w:ascii="Tahoma" w:eastAsia="Times New Roman" w:hAnsi="Tahoma" w:hint="cs"/>
          <w:sz w:val="24"/>
          <w:rtl/>
        </w:rPr>
        <w:t>بواری</w:t>
      </w:r>
      <w:r w:rsidR="00034FF0">
        <w:rPr>
          <w:rFonts w:ascii="Tahoma" w:eastAsia="Times New Roman" w:hAnsi="Tahoma" w:hint="cs"/>
          <w:sz w:val="24"/>
          <w:rtl/>
        </w:rPr>
        <w:t>»</w:t>
      </w:r>
      <w:r>
        <w:rPr>
          <w:rFonts w:ascii="Tahoma" w:eastAsia="Times New Roman" w:hAnsi="Tahoma" w:hint="cs"/>
          <w:sz w:val="24"/>
          <w:rtl/>
        </w:rPr>
        <w:t xml:space="preserve"> یا بدن باید مرطوب باشد تا خود </w:t>
      </w:r>
      <w:r w:rsidR="00034FF0">
        <w:rPr>
          <w:rFonts w:ascii="Tahoma" w:eastAsia="Times New Roman" w:hAnsi="Tahoma" w:hint="cs"/>
          <w:sz w:val="24"/>
          <w:rtl/>
        </w:rPr>
        <w:t>«</w:t>
      </w:r>
      <w:r>
        <w:rPr>
          <w:rFonts w:ascii="Tahoma" w:eastAsia="Times New Roman" w:hAnsi="Tahoma" w:hint="cs"/>
          <w:sz w:val="24"/>
          <w:rtl/>
        </w:rPr>
        <w:t>بواری</w:t>
      </w:r>
      <w:r w:rsidR="00034FF0">
        <w:rPr>
          <w:rFonts w:ascii="Tahoma" w:eastAsia="Times New Roman" w:hAnsi="Tahoma" w:hint="cs"/>
          <w:sz w:val="24"/>
          <w:rtl/>
        </w:rPr>
        <w:t>»</w:t>
      </w:r>
      <w:r>
        <w:rPr>
          <w:rFonts w:ascii="Tahoma" w:eastAsia="Times New Roman" w:hAnsi="Tahoma" w:hint="cs"/>
          <w:sz w:val="24"/>
          <w:rtl/>
        </w:rPr>
        <w:t xml:space="preserve"> نجس بشود. من که می خواهم نماز بخوانم هم باز باید یا بدن من یا </w:t>
      </w:r>
      <w:r w:rsidR="00034FF0">
        <w:rPr>
          <w:rFonts w:ascii="Tahoma" w:eastAsia="Times New Roman" w:hAnsi="Tahoma" w:hint="cs"/>
          <w:sz w:val="24"/>
          <w:rtl/>
        </w:rPr>
        <w:t>«</w:t>
      </w:r>
      <w:r>
        <w:rPr>
          <w:rFonts w:ascii="Tahoma" w:eastAsia="Times New Roman" w:hAnsi="Tahoma" w:hint="cs"/>
          <w:sz w:val="24"/>
          <w:rtl/>
        </w:rPr>
        <w:t>بواری</w:t>
      </w:r>
      <w:r w:rsidR="00034FF0">
        <w:rPr>
          <w:rFonts w:ascii="Tahoma" w:eastAsia="Times New Roman" w:hAnsi="Tahoma" w:hint="cs"/>
          <w:sz w:val="24"/>
          <w:rtl/>
        </w:rPr>
        <w:t>»</w:t>
      </w:r>
      <w:r>
        <w:rPr>
          <w:rFonts w:ascii="Tahoma" w:eastAsia="Times New Roman" w:hAnsi="Tahoma" w:hint="cs"/>
          <w:sz w:val="24"/>
          <w:rtl/>
        </w:rPr>
        <w:t xml:space="preserve"> مرطوب باشد. علاوه</w:t>
      </w:r>
      <w:r w:rsidR="00034FF0">
        <w:rPr>
          <w:rFonts w:ascii="Tahoma" w:eastAsia="Times New Roman" w:hAnsi="Tahoma" w:hint="cs"/>
          <w:sz w:val="24"/>
          <w:rtl/>
        </w:rPr>
        <w:t>،</w:t>
      </w:r>
      <w:r>
        <w:rPr>
          <w:rFonts w:ascii="Tahoma" w:eastAsia="Times New Roman" w:hAnsi="Tahoma" w:hint="cs"/>
          <w:sz w:val="24"/>
          <w:rtl/>
        </w:rPr>
        <w:t xml:space="preserve"> آن چه که بر طبق روایات باید پاک باشد فقط محل سجده است. از همۀ این ها گذشته از کجا که این نجاست مربوط به ذات بدن این ها باشد. ممکن است نجاست عارضی باشد.</w:t>
      </w:r>
    </w:p>
    <w:p w:rsidR="004442C3" w:rsidRPr="004442C3" w:rsidRDefault="004442C3" w:rsidP="004442C3">
      <w:pPr>
        <w:spacing w:before="100" w:beforeAutospacing="1" w:after="100" w:afterAutospacing="1" w:line="360" w:lineRule="auto"/>
        <w:jc w:val="lowKashida"/>
        <w:rPr>
          <w:rFonts w:ascii="Tahoma" w:eastAsia="Times New Roman" w:hAnsi="Tahoma"/>
          <w:sz w:val="24"/>
          <w:rtl/>
        </w:rPr>
      </w:pPr>
      <w:r w:rsidRPr="00034FF0">
        <w:rPr>
          <w:rFonts w:ascii="Tahoma" w:eastAsia="Times New Roman" w:hAnsi="Tahoma" w:hint="cs"/>
          <w:b/>
          <w:bCs/>
          <w:sz w:val="24"/>
          <w:rtl/>
        </w:rPr>
        <w:t>روایت بعدی</w:t>
      </w:r>
      <w:r>
        <w:rPr>
          <w:rFonts w:ascii="Tahoma" w:eastAsia="Times New Roman" w:hAnsi="Tahoma" w:hint="cs"/>
          <w:sz w:val="24"/>
          <w:rtl/>
        </w:rPr>
        <w:t xml:space="preserve"> وسائل الشیعه نقل می کند از جناب برقی در محاسن. وسائل ج 24، ص 207، باب 52، ابواب اطعمه محرمة، حدیث 3</w:t>
      </w:r>
      <w:r w:rsidRPr="004442C3">
        <w:rPr>
          <w:rFonts w:ascii="Tahoma" w:eastAsia="Times New Roman" w:hAnsi="Tahoma" w:hint="cs"/>
          <w:sz w:val="24"/>
          <w:rtl/>
        </w:rPr>
        <w:t>:</w:t>
      </w:r>
    </w:p>
    <w:p w:rsidR="004442C3" w:rsidRPr="004442C3" w:rsidRDefault="004442C3" w:rsidP="004442C3">
      <w:pPr>
        <w:spacing w:before="100" w:beforeAutospacing="1" w:after="100" w:afterAutospacing="1" w:line="360" w:lineRule="auto"/>
        <w:jc w:val="lowKashida"/>
        <w:rPr>
          <w:rFonts w:ascii="Tahoma" w:eastAsia="Times New Roman" w:hAnsi="Tahoma"/>
          <w:sz w:val="24"/>
          <w:rtl/>
        </w:rPr>
      </w:pPr>
      <w:r w:rsidRPr="004442C3">
        <w:rPr>
          <w:rFonts w:ascii="Tahoma" w:eastAsia="Times New Roman" w:hAnsi="Tahoma" w:hint="cs"/>
          <w:sz w:val="24"/>
          <w:rtl/>
        </w:rPr>
        <w:lastRenderedPageBreak/>
        <w:t>وَ(عَنْ أَحْمَدَ بْنِ مُحَمَّدِ بْنِ خَالِد) عَنْ أَبِيهِ عَنْ صَفْوَانَ عَنِ الْعِيصِ</w:t>
      </w:r>
    </w:p>
    <w:p w:rsidR="004442C3" w:rsidRPr="004442C3" w:rsidRDefault="004442C3" w:rsidP="004442C3">
      <w:pPr>
        <w:spacing w:before="100" w:beforeAutospacing="1" w:after="100" w:afterAutospacing="1" w:line="360" w:lineRule="auto"/>
        <w:jc w:val="lowKashida"/>
        <w:rPr>
          <w:rFonts w:ascii="Tahoma" w:eastAsia="Times New Roman" w:hAnsi="Tahoma"/>
          <w:sz w:val="24"/>
          <w:rtl/>
        </w:rPr>
      </w:pPr>
      <w:r w:rsidRPr="004442C3">
        <w:rPr>
          <w:rFonts w:ascii="Tahoma" w:eastAsia="Times New Roman" w:hAnsi="Tahoma" w:hint="cs"/>
          <w:sz w:val="24"/>
          <w:rtl/>
        </w:rPr>
        <w:t>سند روایت مشکلی ندارد.</w:t>
      </w:r>
    </w:p>
    <w:p w:rsidR="004442C3" w:rsidRPr="004442C3" w:rsidRDefault="004442C3" w:rsidP="004442C3">
      <w:pPr>
        <w:spacing w:before="100" w:beforeAutospacing="1" w:after="100" w:afterAutospacing="1" w:line="360" w:lineRule="auto"/>
        <w:jc w:val="lowKashida"/>
        <w:rPr>
          <w:rFonts w:ascii="Tahoma" w:eastAsia="Times New Roman" w:hAnsi="Tahoma"/>
          <w:sz w:val="24"/>
        </w:rPr>
      </w:pPr>
      <w:r w:rsidRPr="004442C3">
        <w:rPr>
          <w:rFonts w:ascii="Tahoma" w:eastAsia="Times New Roman" w:hAnsi="Tahoma" w:hint="cs"/>
          <w:sz w:val="24"/>
          <w:rtl/>
        </w:rPr>
        <w:t>قَالَ: سَأَلْتُ أَبَا عَبْدِ اللَّهِ ع عَنْ مُؤَاكَلَةِ الْيَهُودِيِّ- وَ النَّصْرَانِيِّ وَ الْمَجُوسِيِّ- أَ فَآكُلُ مِنْ طَعَامِهِمْ قَالَ لَا.</w:t>
      </w:r>
    </w:p>
    <w:p w:rsidR="004442C3" w:rsidRPr="004442C3" w:rsidRDefault="004442C3" w:rsidP="00E8295A">
      <w:pPr>
        <w:spacing w:before="100" w:beforeAutospacing="1" w:after="100" w:afterAutospacing="1" w:line="360" w:lineRule="auto"/>
        <w:jc w:val="lowKashida"/>
        <w:rPr>
          <w:rFonts w:ascii="Tahoma" w:eastAsia="Times New Roman" w:hAnsi="Tahoma"/>
          <w:sz w:val="24"/>
          <w:rtl/>
        </w:rPr>
      </w:pPr>
      <w:r w:rsidRPr="004442C3">
        <w:rPr>
          <w:rFonts w:ascii="Tahoma" w:eastAsia="Times New Roman" w:hAnsi="Tahoma" w:hint="cs"/>
          <w:sz w:val="24"/>
          <w:rtl/>
        </w:rPr>
        <w:t>دیگر احتیاج به تکرار تقریب استدلال و جواب نیست.</w:t>
      </w:r>
    </w:p>
    <w:p w:rsidR="004442C3" w:rsidRDefault="004442C3" w:rsidP="004442C3">
      <w:pPr>
        <w:spacing w:before="100" w:beforeAutospacing="1" w:after="100" w:afterAutospacing="1" w:line="360" w:lineRule="auto"/>
        <w:jc w:val="lowKashida"/>
        <w:rPr>
          <w:rFonts w:ascii="Tahoma" w:eastAsia="Times New Roman" w:hAnsi="Tahoma"/>
          <w:sz w:val="24"/>
          <w:rtl/>
        </w:rPr>
      </w:pPr>
      <w:r w:rsidRPr="000A264F">
        <w:rPr>
          <w:rFonts w:ascii="Tahoma" w:eastAsia="Times New Roman" w:hAnsi="Tahoma" w:hint="cs"/>
          <w:b/>
          <w:bCs/>
          <w:sz w:val="24"/>
          <w:rtl/>
        </w:rPr>
        <w:t>روایت بعدی</w:t>
      </w:r>
      <w:r w:rsidRPr="004442C3">
        <w:rPr>
          <w:rFonts w:ascii="Tahoma" w:eastAsia="Times New Roman" w:hAnsi="Tahoma" w:hint="cs"/>
          <w:sz w:val="24"/>
          <w:rtl/>
        </w:rPr>
        <w:t xml:space="preserve"> وسا</w:t>
      </w:r>
      <w:r>
        <w:rPr>
          <w:rFonts w:ascii="Tahoma" w:eastAsia="Times New Roman" w:hAnsi="Tahoma" w:hint="cs"/>
          <w:sz w:val="24"/>
          <w:rtl/>
        </w:rPr>
        <w:t>ئ</w:t>
      </w:r>
      <w:r w:rsidRPr="004442C3">
        <w:rPr>
          <w:rFonts w:ascii="Tahoma" w:eastAsia="Times New Roman" w:hAnsi="Tahoma" w:hint="cs"/>
          <w:sz w:val="24"/>
          <w:rtl/>
        </w:rPr>
        <w:t>ل الشیعه</w:t>
      </w:r>
      <w:r>
        <w:rPr>
          <w:rFonts w:ascii="Tahoma" w:eastAsia="Times New Roman" w:hAnsi="Tahoma" w:hint="cs"/>
          <w:sz w:val="24"/>
          <w:rtl/>
        </w:rPr>
        <w:t xml:space="preserve"> از قرب الاسناد حمیری نقل می کند، ج 24، ص 207، باب 52، ابواب اطعمه محرمه، حدیث 4:</w:t>
      </w:r>
    </w:p>
    <w:p w:rsidR="004442C3" w:rsidRPr="004442C3" w:rsidRDefault="004442C3" w:rsidP="004442C3">
      <w:pPr>
        <w:spacing w:before="100" w:beforeAutospacing="1" w:after="100" w:afterAutospacing="1" w:line="360" w:lineRule="auto"/>
        <w:jc w:val="lowKashida"/>
        <w:rPr>
          <w:rFonts w:ascii="Tahoma" w:eastAsia="Times New Roman" w:hAnsi="Tahoma"/>
          <w:sz w:val="24"/>
          <w:rtl/>
        </w:rPr>
      </w:pPr>
      <w:r w:rsidRPr="004442C3">
        <w:rPr>
          <w:rFonts w:ascii="Tahoma" w:eastAsia="Times New Roman" w:hAnsi="Tahoma" w:hint="cs"/>
          <w:sz w:val="24"/>
          <w:rtl/>
        </w:rPr>
        <w:t xml:space="preserve">عَبْدُ اللَّهِ بْنُ جَعْفَرٍ فِي قُرْبِ الْإِسْنَادِ عَنْ عَبْدِ اللَّهِ بْنِ الْحَسَنِ عَنْ عَلِيِّ بْنِ جَعْفَرٍ عَنْ أَخِيهِ مُوسَى بْنِ جَعْفَرٍ علیهما السلام </w:t>
      </w:r>
    </w:p>
    <w:p w:rsidR="004442C3" w:rsidRDefault="004442C3" w:rsidP="006C530C">
      <w:pPr>
        <w:spacing w:before="100" w:beforeAutospacing="1" w:after="100" w:afterAutospacing="1" w:line="360" w:lineRule="auto"/>
        <w:jc w:val="lowKashida"/>
        <w:rPr>
          <w:rFonts w:ascii="Tahoma" w:eastAsia="Times New Roman" w:hAnsi="Tahoma"/>
          <w:sz w:val="24"/>
          <w:rtl/>
        </w:rPr>
      </w:pPr>
      <w:r w:rsidRPr="004442C3">
        <w:rPr>
          <w:rFonts w:ascii="Tahoma" w:eastAsia="Times New Roman" w:hAnsi="Tahoma" w:hint="cs"/>
          <w:sz w:val="24"/>
          <w:rtl/>
        </w:rPr>
        <w:t>قرب الاسناد به روایاتی می گویند که تعداد روات در آن روا</w:t>
      </w:r>
      <w:r w:rsidR="00034FF0">
        <w:rPr>
          <w:rFonts w:ascii="Tahoma" w:eastAsia="Times New Roman" w:hAnsi="Tahoma" w:hint="cs"/>
          <w:sz w:val="24"/>
          <w:rtl/>
        </w:rPr>
        <w:t xml:space="preserve">یت بسیار کم باشد و یکی از </w:t>
      </w:r>
      <w:bookmarkStart w:id="0" w:name="_GoBack"/>
      <w:bookmarkEnd w:id="0"/>
      <w:r w:rsidR="00034FF0">
        <w:rPr>
          <w:rFonts w:ascii="Tahoma" w:eastAsia="Times New Roman" w:hAnsi="Tahoma" w:hint="cs"/>
          <w:sz w:val="24"/>
          <w:rtl/>
        </w:rPr>
        <w:t>مزیت</w:t>
      </w:r>
      <w:r w:rsidR="00034FF0">
        <w:rPr>
          <w:rFonts w:ascii="Tahoma" w:eastAsia="Times New Roman" w:hAnsi="Tahoma" w:hint="eastAsia"/>
          <w:sz w:val="24"/>
          <w:rtl/>
        </w:rPr>
        <w:t>‌</w:t>
      </w:r>
      <w:r w:rsidRPr="004442C3">
        <w:rPr>
          <w:rFonts w:ascii="Tahoma" w:eastAsia="Times New Roman" w:hAnsi="Tahoma" w:hint="cs"/>
          <w:sz w:val="24"/>
          <w:rtl/>
        </w:rPr>
        <w:t>های روایت است.</w:t>
      </w:r>
      <w:r w:rsidR="006C530C">
        <w:rPr>
          <w:rFonts w:ascii="Tahoma" w:eastAsia="Times New Roman" w:hAnsi="Tahoma" w:hint="cs"/>
          <w:sz w:val="24"/>
          <w:rtl/>
        </w:rPr>
        <w:t xml:space="preserve"> دأب قدماء از روات ما، حتی روات اهل سنت این بوده است که این گونه روایات را جداگانه می نوشتند و حتی برای شنیدن چنین روایاتی ک</w:t>
      </w:r>
      <w:r w:rsidR="00034FF0">
        <w:rPr>
          <w:rFonts w:ascii="Tahoma" w:eastAsia="Times New Roman" w:hAnsi="Tahoma" w:hint="cs"/>
          <w:sz w:val="24"/>
          <w:rtl/>
        </w:rPr>
        <w:t>ه واسطۀ کمی داشته است مسافرت</w:t>
      </w:r>
      <w:r w:rsidR="00034FF0">
        <w:rPr>
          <w:rFonts w:ascii="Tahoma" w:eastAsia="Times New Roman" w:hAnsi="Tahoma" w:hint="eastAsia"/>
          <w:sz w:val="24"/>
          <w:rtl/>
        </w:rPr>
        <w:t>‌</w:t>
      </w:r>
      <w:r w:rsidR="00034FF0">
        <w:rPr>
          <w:rFonts w:ascii="Tahoma" w:eastAsia="Times New Roman" w:hAnsi="Tahoma" w:hint="cs"/>
          <w:sz w:val="24"/>
          <w:rtl/>
        </w:rPr>
        <w:t>ها</w:t>
      </w:r>
      <w:r w:rsidR="006C530C">
        <w:rPr>
          <w:rFonts w:ascii="Tahoma" w:eastAsia="Times New Roman" w:hAnsi="Tahoma" w:hint="cs"/>
          <w:sz w:val="24"/>
          <w:rtl/>
        </w:rPr>
        <w:t>ی طولانی انجام می دادند تا از زبان خود او حدیث را بشنوند.</w:t>
      </w:r>
    </w:p>
    <w:p w:rsidR="006C530C" w:rsidRDefault="006C530C" w:rsidP="006C530C">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یکی از این بزرگواران که ق</w:t>
      </w:r>
      <w:r w:rsidR="00034FF0">
        <w:rPr>
          <w:rFonts w:ascii="Tahoma" w:eastAsia="Times New Roman" w:hAnsi="Tahoma" w:hint="cs"/>
          <w:sz w:val="24"/>
          <w:rtl/>
        </w:rPr>
        <w:t>ُ</w:t>
      </w:r>
      <w:r>
        <w:rPr>
          <w:rFonts w:ascii="Tahoma" w:eastAsia="Times New Roman" w:hAnsi="Tahoma" w:hint="cs"/>
          <w:sz w:val="24"/>
          <w:rtl/>
        </w:rPr>
        <w:t>رب الاسناد نوشته است جناب حمیری است</w:t>
      </w:r>
      <w:r w:rsidR="00034FF0">
        <w:rPr>
          <w:rFonts w:ascii="Tahoma" w:eastAsia="Times New Roman" w:hAnsi="Tahoma" w:hint="cs"/>
          <w:sz w:val="24"/>
          <w:rtl/>
        </w:rPr>
        <w:t>،</w:t>
      </w:r>
      <w:r>
        <w:rPr>
          <w:rFonts w:ascii="Tahoma" w:eastAsia="Times New Roman" w:hAnsi="Tahoma" w:hint="cs"/>
          <w:sz w:val="24"/>
          <w:rtl/>
        </w:rPr>
        <w:t xml:space="preserve"> عبدالله بن جعفر الحمیری که از چ</w:t>
      </w:r>
      <w:r w:rsidR="00034FF0">
        <w:rPr>
          <w:rFonts w:ascii="Tahoma" w:eastAsia="Times New Roman" w:hAnsi="Tahoma" w:hint="cs"/>
          <w:sz w:val="24"/>
          <w:rtl/>
        </w:rPr>
        <w:t>ند امام نقل می کند. از این کتاب</w:t>
      </w:r>
      <w:r w:rsidR="00034FF0">
        <w:rPr>
          <w:rFonts w:ascii="Tahoma" w:eastAsia="Times New Roman" w:hAnsi="Tahoma" w:hint="eastAsia"/>
          <w:sz w:val="24"/>
          <w:rtl/>
        </w:rPr>
        <w:t>‌</w:t>
      </w:r>
      <w:r>
        <w:rPr>
          <w:rFonts w:ascii="Tahoma" w:eastAsia="Times New Roman" w:hAnsi="Tahoma" w:hint="cs"/>
          <w:sz w:val="24"/>
          <w:rtl/>
        </w:rPr>
        <w:t>ها سوگمندانه چیز زیادی باقی نمانده است و بخش های زیادی از این کتاب ها باقی نیست</w:t>
      </w:r>
      <w:r w:rsidR="00034FF0">
        <w:rPr>
          <w:rFonts w:ascii="Tahoma" w:eastAsia="Times New Roman" w:hAnsi="Tahoma" w:hint="cs"/>
          <w:sz w:val="24"/>
          <w:rtl/>
        </w:rPr>
        <w:t>.</w:t>
      </w:r>
      <w:r>
        <w:rPr>
          <w:rFonts w:ascii="Tahoma" w:eastAsia="Times New Roman" w:hAnsi="Tahoma" w:hint="cs"/>
          <w:sz w:val="24"/>
          <w:rtl/>
        </w:rPr>
        <w:t xml:space="preserve"> از جمله قرب الاسناد ایشان از موسی بن جعفر سلام الله علیه باقی مانده است.</w:t>
      </w:r>
    </w:p>
    <w:p w:rsidR="00034FF0" w:rsidRDefault="006C530C" w:rsidP="00034FF0">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بعضی از این سندها عبدالله بن جعفر الحمیری از کسانی نقل کرده است که موثق اند. خب بحثی نیست. بعضی </w:t>
      </w:r>
      <w:r w:rsidR="00034FF0">
        <w:rPr>
          <w:rFonts w:ascii="Tahoma" w:eastAsia="Times New Roman" w:hAnsi="Tahoma" w:hint="cs"/>
          <w:sz w:val="24"/>
          <w:rtl/>
        </w:rPr>
        <w:t>از</w:t>
      </w:r>
      <w:r>
        <w:rPr>
          <w:rFonts w:ascii="Tahoma" w:eastAsia="Times New Roman" w:hAnsi="Tahoma" w:hint="cs"/>
          <w:sz w:val="24"/>
          <w:rtl/>
        </w:rPr>
        <w:t xml:space="preserve"> این ها از کسانی نقل شده است که ضعیف اند، دسته سوم این روایات از کسانی نقل شده است که مجهول الحال</w:t>
      </w:r>
      <w:r w:rsidR="00034FF0">
        <w:rPr>
          <w:rFonts w:ascii="Tahoma" w:eastAsia="Times New Roman" w:hAnsi="Tahoma" w:hint="eastAsia"/>
          <w:sz w:val="24"/>
          <w:rtl/>
        </w:rPr>
        <w:t>‌ا</w:t>
      </w:r>
      <w:r>
        <w:rPr>
          <w:rFonts w:ascii="Tahoma" w:eastAsia="Times New Roman" w:hAnsi="Tahoma" w:hint="cs"/>
          <w:sz w:val="24"/>
          <w:rtl/>
        </w:rPr>
        <w:t xml:space="preserve">ند. </w:t>
      </w:r>
    </w:p>
    <w:p w:rsidR="006C530C" w:rsidRDefault="006C530C" w:rsidP="00034FF0">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همۀ آنچه در مورد اسناد قرب الاسناد می توان گفت و بی</w:t>
      </w:r>
      <w:r w:rsidR="00034FF0">
        <w:rPr>
          <w:rFonts w:ascii="Tahoma" w:eastAsia="Times New Roman" w:hAnsi="Tahoma" w:hint="cs"/>
          <w:sz w:val="24"/>
          <w:rtl/>
        </w:rPr>
        <w:t>ش از این هم بزرگان ما جلو نرفته</w:t>
      </w:r>
      <w:r w:rsidR="00034FF0">
        <w:rPr>
          <w:rFonts w:ascii="Tahoma" w:eastAsia="Times New Roman" w:hAnsi="Tahoma" w:hint="eastAsia"/>
          <w:sz w:val="24"/>
          <w:rtl/>
        </w:rPr>
        <w:t>‌</w:t>
      </w:r>
      <w:r>
        <w:rPr>
          <w:rFonts w:ascii="Tahoma" w:eastAsia="Times New Roman" w:hAnsi="Tahoma" w:hint="cs"/>
          <w:sz w:val="24"/>
          <w:rtl/>
        </w:rPr>
        <w:t xml:space="preserve">اند. </w:t>
      </w:r>
    </w:p>
    <w:p w:rsidR="006C530C" w:rsidRDefault="006C530C" w:rsidP="006C530C">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ما مبنایی داریم و بر این مبنا هم پافشاری داریم بر این که قرب الاسناد نوشتن برای این است که یک ترجیحی در روایت مشاهده بشود، امتیازی داشته باشد این روایت نسبت به دیگر روایات. ترجیح هم وقتی است که اصل حجیت روایت مسلم باشد. قربُ الاسناد داشتن یک </w:t>
      </w:r>
      <w:r>
        <w:rPr>
          <w:rFonts w:ascii="Tahoma" w:eastAsia="Times New Roman" w:hAnsi="Tahoma" w:hint="cs"/>
          <w:sz w:val="24"/>
          <w:rtl/>
        </w:rPr>
        <w:lastRenderedPageBreak/>
        <w:t>روایت ترجیح است، مرجح است. باور نمی کنیم کسی مثل عبدالله بن جعفر الحمیری مسافرت کند، مجاهدت کند، زحمت بکشد و فق</w:t>
      </w:r>
      <w:r w:rsidR="00034FF0">
        <w:rPr>
          <w:rFonts w:ascii="Tahoma" w:eastAsia="Times New Roman" w:hAnsi="Tahoma" w:hint="cs"/>
          <w:sz w:val="24"/>
          <w:rtl/>
        </w:rPr>
        <w:t>ط</w:t>
      </w:r>
      <w:r>
        <w:rPr>
          <w:rFonts w:ascii="Tahoma" w:eastAsia="Times New Roman" w:hAnsi="Tahoma" w:hint="cs"/>
          <w:sz w:val="24"/>
          <w:rtl/>
        </w:rPr>
        <w:t xml:space="preserve"> روایاتی را که صرف قرب الاسناد است را جمع کند و کاری با صحة سند نداشته باشد. طبع قضیه این است که این ها روایاتی را جمع کنند که حجیت روایات برایشان ثابت شده باشد و بخواهند قرب الاسناد داشتن را مرجح روایت نشان بدهند. طبیعتا هر کسی که در این سند کوتاه قرار می گیرد، باید وثاقتشان برای جناب حمیری ثابت باشد تا این قرب الاسناد نوشتن حکیمانه باشد. آن همه زحمت لغو نباشد و نظر عم</w:t>
      </w:r>
      <w:r w:rsidR="00034FF0">
        <w:rPr>
          <w:rFonts w:ascii="Tahoma" w:eastAsia="Times New Roman" w:hAnsi="Tahoma" w:hint="cs"/>
          <w:sz w:val="24"/>
          <w:rtl/>
        </w:rPr>
        <w:t>ده هم بر این است که بخواهند سند</w:t>
      </w:r>
      <w:r w:rsidR="00034FF0">
        <w:rPr>
          <w:rFonts w:ascii="Tahoma" w:eastAsia="Times New Roman" w:hAnsi="Tahoma" w:hint="eastAsia"/>
          <w:sz w:val="24"/>
          <w:rtl/>
        </w:rPr>
        <w:t>‌</w:t>
      </w:r>
      <w:r>
        <w:rPr>
          <w:rFonts w:ascii="Tahoma" w:eastAsia="Times New Roman" w:hAnsi="Tahoma" w:hint="cs"/>
          <w:sz w:val="24"/>
          <w:rtl/>
        </w:rPr>
        <w:t>ها را بسنجند و اقوی الاسناد را بیان کنند نه این که بخواهند روایت را از جهت معنا و مضمون حجت کنند، قرب الاسناد بشود مرجح. البته ما چون در اصل شهادت ها بر توثیق تامّل داریم، طبیعتا این گونه شهادت ها در درجه پایین تر است، منتها به عنوان یک قرینه قابل توجه نمی توانیم منکر بشویم که وقوع در اسناد قرب الاسناد، مزی</w:t>
      </w:r>
      <w:r w:rsidR="00034FF0">
        <w:rPr>
          <w:rFonts w:ascii="Tahoma" w:eastAsia="Times New Roman" w:hAnsi="Tahoma" w:hint="cs"/>
          <w:sz w:val="24"/>
          <w:rtl/>
        </w:rPr>
        <w:t>ّ</w:t>
      </w:r>
      <w:r>
        <w:rPr>
          <w:rFonts w:ascii="Tahoma" w:eastAsia="Times New Roman" w:hAnsi="Tahoma" w:hint="cs"/>
          <w:sz w:val="24"/>
          <w:rtl/>
        </w:rPr>
        <w:t xml:space="preserve">تی به روات می دهد که باید در کنار قرائن دیگر مشاهد بشود. </w:t>
      </w:r>
    </w:p>
    <w:p w:rsidR="006C530C" w:rsidRDefault="006C530C" w:rsidP="006C530C">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حال در این روایت:</w:t>
      </w:r>
    </w:p>
    <w:p w:rsidR="00D33700" w:rsidRDefault="00D33700" w:rsidP="00D33700">
      <w:pPr>
        <w:spacing w:before="100" w:beforeAutospacing="1" w:after="100" w:afterAutospacing="1" w:line="360" w:lineRule="auto"/>
        <w:jc w:val="lowKashida"/>
        <w:rPr>
          <w:rFonts w:ascii="Tahoma" w:eastAsia="Times New Roman" w:hAnsi="Tahoma"/>
          <w:sz w:val="24"/>
          <w:rtl/>
        </w:rPr>
      </w:pPr>
      <w:r w:rsidRPr="004442C3">
        <w:rPr>
          <w:rFonts w:ascii="Tahoma" w:eastAsia="Times New Roman" w:hAnsi="Tahoma" w:hint="cs"/>
          <w:sz w:val="24"/>
          <w:rtl/>
        </w:rPr>
        <w:t>قُرْبِ الْإِسْنَادِ عَنْ عَبْدِ اللَّهِ بْنِ الْحَسَنِ عَنْ عَلِيِّ بْنِ جَعْفَرٍ عَنْ أَخِيهِ مُوسَى بْنِ جَعْفَرٍ علیهما السلام</w:t>
      </w:r>
    </w:p>
    <w:p w:rsidR="00D33700" w:rsidRDefault="00D33700" w:rsidP="00D33700">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عبد الله بن حسن چند نفر داریم، آن کسی که در اسناد قرب الاسناد واقع شده است و حمیری از او نقل می کند، نوه پسری علی بن جعفر است. علی بن جعفر یک پسر دارد به نام حسن. این حسن هم پسری دارد به نام عبد الله .</w:t>
      </w:r>
    </w:p>
    <w:p w:rsidR="00D33700" w:rsidRDefault="00D33700" w:rsidP="00D33700">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پس سند می شود عبد الله بن جعفر الحمیری عن عبد الله بن حسن بن علی بن جعفر عن علی بن جعفر.</w:t>
      </w:r>
    </w:p>
    <w:p w:rsidR="00D33700" w:rsidRDefault="00D33700" w:rsidP="00D33700">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عبدالله بن الحسن تضعیف و توثیقی ندارد، در حقیقت می شود نتیجه امام صادق سلام الله علیه. یکی از راه های اعتماد به او همین است که جناب حمیری در قرب الاسناد روایاتی را مستقیم از عبد الله بن الحسن نقل می کند و این</w:t>
      </w:r>
      <w:r w:rsidR="00034FF0">
        <w:rPr>
          <w:rFonts w:ascii="Tahoma" w:eastAsia="Times New Roman" w:hAnsi="Tahoma" w:hint="cs"/>
          <w:sz w:val="24"/>
          <w:rtl/>
        </w:rPr>
        <w:t xml:space="preserve"> می تواند قرینه ایی بر اطمینان ما باشد</w:t>
      </w:r>
      <w:r>
        <w:rPr>
          <w:rFonts w:ascii="Tahoma" w:eastAsia="Times New Roman" w:hAnsi="Tahoma" w:hint="cs"/>
          <w:sz w:val="24"/>
          <w:rtl/>
        </w:rPr>
        <w:t>. ضمن این که این بزرگوار و</w:t>
      </w:r>
      <w:r w:rsidR="00034FF0">
        <w:rPr>
          <w:rFonts w:ascii="Tahoma" w:eastAsia="Times New Roman" w:hAnsi="Tahoma" w:hint="cs"/>
          <w:sz w:val="24"/>
          <w:rtl/>
        </w:rPr>
        <w:t xml:space="preserve"> </w:t>
      </w:r>
      <w:r>
        <w:rPr>
          <w:rFonts w:ascii="Tahoma" w:eastAsia="Times New Roman" w:hAnsi="Tahoma" w:hint="cs"/>
          <w:sz w:val="24"/>
          <w:rtl/>
        </w:rPr>
        <w:t>لو در کتاب های رجالی نام اش کمتر برده شده است اما در کتاب های انساب(انساب الطالبین) نام اش زیاد برده شده است.</w:t>
      </w:r>
    </w:p>
    <w:p w:rsidR="00D33700" w:rsidRDefault="00D33700" w:rsidP="00D33700">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در مورد چنین امام زاده هایی ما باید آن اصل اولی را بر پاکی خانوادگی و داشتن آن اصالت های اهل بیت علیهم السلام بگذاریم. حالا بعضی از این ها از جاده منحرف شدند آن را دلیل داریم و ال</w:t>
      </w:r>
      <w:r w:rsidR="00034FF0">
        <w:rPr>
          <w:rFonts w:ascii="Tahoma" w:eastAsia="Times New Roman" w:hAnsi="Tahoma" w:hint="cs"/>
          <w:sz w:val="24"/>
          <w:rtl/>
        </w:rPr>
        <w:t>ّ</w:t>
      </w:r>
      <w:r>
        <w:rPr>
          <w:rFonts w:ascii="Tahoma" w:eastAsia="Times New Roman" w:hAnsi="Tahoma" w:hint="cs"/>
          <w:sz w:val="24"/>
          <w:rtl/>
        </w:rPr>
        <w:t>ا پاکی</w:t>
      </w:r>
      <w:r w:rsidR="00DE6281">
        <w:rPr>
          <w:rFonts w:ascii="Tahoma" w:eastAsia="Times New Roman" w:hAnsi="Tahoma" w:hint="cs"/>
          <w:sz w:val="24"/>
          <w:rtl/>
        </w:rPr>
        <w:t xml:space="preserve"> این</w:t>
      </w:r>
      <w:r>
        <w:rPr>
          <w:rFonts w:ascii="Tahoma" w:eastAsia="Times New Roman" w:hAnsi="Tahoma" w:hint="cs"/>
          <w:sz w:val="24"/>
          <w:rtl/>
        </w:rPr>
        <w:t xml:space="preserve"> خانواده نشان </w:t>
      </w:r>
      <w:r w:rsidR="00034FF0">
        <w:rPr>
          <w:rFonts w:ascii="Tahoma" w:eastAsia="Times New Roman" w:hAnsi="Tahoma" w:hint="cs"/>
          <w:sz w:val="24"/>
          <w:rtl/>
        </w:rPr>
        <w:t>می دهد این ها افراد درستی بوده اند.</w:t>
      </w:r>
    </w:p>
    <w:p w:rsidR="00D33700" w:rsidRDefault="00D33700" w:rsidP="00D33700">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lastRenderedPageBreak/>
        <w:t>این سند روایت.</w:t>
      </w:r>
    </w:p>
    <w:p w:rsidR="00D33700" w:rsidRPr="004442C3" w:rsidRDefault="00D33700" w:rsidP="00D33700">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اما متن روایت:</w:t>
      </w:r>
    </w:p>
    <w:p w:rsidR="004442C3" w:rsidRDefault="004442C3" w:rsidP="004442C3">
      <w:pPr>
        <w:spacing w:before="100" w:beforeAutospacing="1" w:after="100" w:afterAutospacing="1" w:line="360" w:lineRule="auto"/>
        <w:jc w:val="lowKashida"/>
        <w:rPr>
          <w:rFonts w:ascii="Tahoma" w:eastAsia="Times New Roman" w:hAnsi="Tahoma"/>
          <w:sz w:val="24"/>
          <w:rtl/>
        </w:rPr>
      </w:pPr>
      <w:r w:rsidRPr="004442C3">
        <w:rPr>
          <w:rFonts w:ascii="Tahoma" w:eastAsia="Times New Roman" w:hAnsi="Tahoma" w:hint="cs"/>
          <w:sz w:val="24"/>
          <w:rtl/>
        </w:rPr>
        <w:t>قَال‏: سَأَلْتُهُ عَنِ الْمُسْلِمِ- لَهُ أَنْ يَأْكُلَ مَعَ‏</w:t>
      </w:r>
      <w:r w:rsidRPr="00D33700">
        <w:rPr>
          <w:rFonts w:ascii="Tahoma" w:eastAsia="Times New Roman" w:hAnsi="Tahoma"/>
          <w:sz w:val="24"/>
          <w:vertAlign w:val="superscript"/>
          <w:rtl/>
        </w:rPr>
        <w:footnoteReference w:id="2"/>
      </w:r>
      <w:r w:rsidRPr="004442C3">
        <w:rPr>
          <w:rFonts w:ascii="Tahoma" w:eastAsia="Times New Roman" w:hAnsi="Tahoma" w:hint="cs"/>
          <w:sz w:val="24"/>
          <w:rtl/>
        </w:rPr>
        <w:t xml:space="preserve"> الْمَجُوسِيِّ فِي قَصْعَةٍ وَاحِدَةٍ</w:t>
      </w:r>
      <w:r w:rsidRPr="00D33700">
        <w:rPr>
          <w:rFonts w:ascii="Tahoma" w:eastAsia="Times New Roman" w:hAnsi="Tahoma"/>
          <w:sz w:val="24"/>
          <w:vertAlign w:val="superscript"/>
          <w:rtl/>
        </w:rPr>
        <w:footnoteReference w:id="3"/>
      </w:r>
      <w:r w:rsidRPr="004442C3">
        <w:rPr>
          <w:rFonts w:ascii="Tahoma" w:eastAsia="Times New Roman" w:hAnsi="Tahoma" w:hint="cs"/>
          <w:sz w:val="24"/>
          <w:rtl/>
        </w:rPr>
        <w:t xml:space="preserve"> أَوْ يَقْعُدَ مَعَهُ عَلَى فِرَاشٍ وَاحِدٍ</w:t>
      </w:r>
      <w:r w:rsidRPr="00D33700">
        <w:rPr>
          <w:rFonts w:ascii="Tahoma" w:eastAsia="Times New Roman" w:hAnsi="Tahoma"/>
          <w:sz w:val="24"/>
          <w:vertAlign w:val="superscript"/>
          <w:rtl/>
        </w:rPr>
        <w:footnoteReference w:id="4"/>
      </w:r>
      <w:r w:rsidRPr="004442C3">
        <w:rPr>
          <w:rFonts w:ascii="Tahoma" w:eastAsia="Times New Roman" w:hAnsi="Tahoma" w:hint="cs"/>
          <w:sz w:val="24"/>
          <w:rtl/>
        </w:rPr>
        <w:t xml:space="preserve"> أَوْ فِي الْمَسْجِدِ أَوْ يُصَاحِبَهُ</w:t>
      </w:r>
      <w:r w:rsidR="00D33700">
        <w:rPr>
          <w:rFonts w:ascii="Tahoma" w:eastAsia="Times New Roman" w:hAnsi="Tahoma" w:hint="cs"/>
          <w:sz w:val="24"/>
          <w:rtl/>
        </w:rPr>
        <w:t>(در بعض نسخه ها این آخری اضافه شده است. به نظر می رسد درست یصافحه باشد)</w:t>
      </w:r>
      <w:r w:rsidRPr="004442C3">
        <w:rPr>
          <w:rFonts w:ascii="Tahoma" w:eastAsia="Times New Roman" w:hAnsi="Tahoma" w:hint="cs"/>
          <w:sz w:val="24"/>
          <w:rtl/>
        </w:rPr>
        <w:t xml:space="preserve"> قَالَ </w:t>
      </w:r>
      <w:r w:rsidR="00D33700">
        <w:rPr>
          <w:rFonts w:ascii="Tahoma" w:eastAsia="Times New Roman" w:hAnsi="Tahoma" w:hint="cs"/>
          <w:sz w:val="24"/>
          <w:rtl/>
        </w:rPr>
        <w:t xml:space="preserve">علیه السلام: </w:t>
      </w:r>
      <w:r w:rsidRPr="004442C3">
        <w:rPr>
          <w:rFonts w:ascii="Tahoma" w:eastAsia="Times New Roman" w:hAnsi="Tahoma" w:hint="cs"/>
          <w:sz w:val="24"/>
          <w:rtl/>
        </w:rPr>
        <w:t>لَا.</w:t>
      </w:r>
    </w:p>
    <w:p w:rsidR="00D33700" w:rsidRDefault="00D33700" w:rsidP="004442C3">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 xml:space="preserve">گمان می کنم این روایت </w:t>
      </w:r>
      <w:r w:rsidR="00DE6281">
        <w:rPr>
          <w:rFonts w:ascii="Tahoma" w:eastAsia="Times New Roman" w:hAnsi="Tahoma" w:hint="cs"/>
          <w:sz w:val="24"/>
          <w:rtl/>
        </w:rPr>
        <w:t>جدایی از روایت علی بن جعفر نیست،</w:t>
      </w:r>
      <w:r>
        <w:rPr>
          <w:rFonts w:ascii="Tahoma" w:eastAsia="Times New Roman" w:hAnsi="Tahoma" w:hint="cs"/>
          <w:sz w:val="24"/>
          <w:rtl/>
        </w:rPr>
        <w:t xml:space="preserve"> سند ها مختلف است</w:t>
      </w:r>
      <w:r w:rsidR="00DE6281">
        <w:rPr>
          <w:rFonts w:ascii="Tahoma" w:eastAsia="Times New Roman" w:hAnsi="Tahoma" w:hint="cs"/>
          <w:sz w:val="24"/>
          <w:rtl/>
        </w:rPr>
        <w:t>.</w:t>
      </w:r>
      <w:r>
        <w:rPr>
          <w:rFonts w:ascii="Tahoma" w:eastAsia="Times New Roman" w:hAnsi="Tahoma" w:hint="cs"/>
          <w:sz w:val="24"/>
          <w:rtl/>
        </w:rPr>
        <w:t xml:space="preserve"> هر چه آن جا گفتیم این جا نیز می گوییم.</w:t>
      </w:r>
    </w:p>
    <w:p w:rsidR="00D33700" w:rsidRDefault="00D33700" w:rsidP="004442C3">
      <w:pPr>
        <w:spacing w:before="100" w:beforeAutospacing="1" w:after="100" w:afterAutospacing="1" w:line="360" w:lineRule="auto"/>
        <w:jc w:val="lowKashida"/>
        <w:rPr>
          <w:rFonts w:ascii="Tahoma" w:eastAsia="Times New Roman" w:hAnsi="Tahoma"/>
          <w:sz w:val="24"/>
        </w:rPr>
      </w:pPr>
      <w:r w:rsidRPr="00DE6281">
        <w:rPr>
          <w:rFonts w:ascii="Tahoma" w:eastAsia="Times New Roman" w:hAnsi="Tahoma" w:hint="cs"/>
          <w:b/>
          <w:bCs/>
          <w:sz w:val="24"/>
          <w:rtl/>
        </w:rPr>
        <w:t>روایت بعدی</w:t>
      </w:r>
      <w:r>
        <w:rPr>
          <w:rFonts w:ascii="Tahoma" w:eastAsia="Times New Roman" w:hAnsi="Tahoma" w:hint="cs"/>
          <w:sz w:val="24"/>
          <w:rtl/>
        </w:rPr>
        <w:t>؛ در وسائل الشیعه، ج 24، ص 212، باب 54، ابواب اطعمه محرمه ، حدیث 1:</w:t>
      </w:r>
    </w:p>
    <w:p w:rsidR="00D33700" w:rsidRPr="00D33700" w:rsidRDefault="00D33700" w:rsidP="00D33700">
      <w:pPr>
        <w:spacing w:before="100" w:beforeAutospacing="1" w:after="100" w:afterAutospacing="1" w:line="360" w:lineRule="auto"/>
        <w:jc w:val="lowKashida"/>
        <w:rPr>
          <w:rFonts w:ascii="Tahoma" w:eastAsia="Times New Roman" w:hAnsi="Tahoma"/>
          <w:sz w:val="24"/>
          <w:rtl/>
        </w:rPr>
      </w:pPr>
      <w:r w:rsidRPr="00D33700">
        <w:rPr>
          <w:rFonts w:ascii="Tahoma" w:eastAsia="Times New Roman" w:hAnsi="Tahoma" w:hint="cs"/>
          <w:sz w:val="24"/>
          <w:rtl/>
        </w:rPr>
        <w:t>وَ عَنْ أَبِيهِ عَنْ مُحَمَّدِ بْنِ سِنَانٍ عَنْ إِسْمَاعِيلَ بْنِ جَابِرٍ وَ عَبْدِ اللَّهِ بْنِ طَلْحَةَ قَالا</w:t>
      </w:r>
      <w:r>
        <w:rPr>
          <w:rFonts w:ascii="Tahoma" w:eastAsia="Times New Roman" w:hAnsi="Tahoma" w:hint="cs"/>
          <w:sz w:val="24"/>
          <w:rtl/>
        </w:rPr>
        <w:t>:</w:t>
      </w:r>
      <w:r w:rsidRPr="00D33700">
        <w:rPr>
          <w:rFonts w:ascii="Tahoma" w:eastAsia="Times New Roman" w:hAnsi="Tahoma" w:hint="cs"/>
          <w:sz w:val="24"/>
          <w:rtl/>
        </w:rPr>
        <w:t xml:space="preserve"> </w:t>
      </w:r>
    </w:p>
    <w:p w:rsidR="00D33700" w:rsidRPr="00D33700" w:rsidRDefault="00D33700" w:rsidP="00D33700">
      <w:pPr>
        <w:spacing w:before="100" w:beforeAutospacing="1" w:after="100" w:afterAutospacing="1" w:line="360" w:lineRule="auto"/>
        <w:jc w:val="lowKashida"/>
        <w:rPr>
          <w:rFonts w:ascii="Tahoma" w:eastAsia="Times New Roman" w:hAnsi="Tahoma"/>
          <w:sz w:val="24"/>
          <w:rtl/>
        </w:rPr>
      </w:pPr>
      <w:r w:rsidRPr="00D33700">
        <w:rPr>
          <w:rFonts w:ascii="Tahoma" w:eastAsia="Times New Roman" w:hAnsi="Tahoma" w:hint="cs"/>
          <w:sz w:val="24"/>
          <w:rtl/>
        </w:rPr>
        <w:t>عبد الله بن طلحه توثیقی ندارد ولی اشکال ندارد چرا که اسماعیل بن جابر ثقه است.</w:t>
      </w:r>
    </w:p>
    <w:p w:rsidR="00D33700" w:rsidRPr="00D33700" w:rsidRDefault="00D33700" w:rsidP="00D33700">
      <w:pPr>
        <w:spacing w:before="100" w:beforeAutospacing="1" w:after="100" w:afterAutospacing="1" w:line="360" w:lineRule="auto"/>
        <w:jc w:val="lowKashida"/>
        <w:rPr>
          <w:rFonts w:ascii="Tahoma" w:eastAsia="Times New Roman" w:hAnsi="Tahoma"/>
          <w:sz w:val="24"/>
        </w:rPr>
      </w:pPr>
      <w:r w:rsidRPr="00D33700">
        <w:rPr>
          <w:rFonts w:ascii="Tahoma" w:eastAsia="Times New Roman" w:hAnsi="Tahoma" w:hint="cs"/>
          <w:sz w:val="24"/>
          <w:rtl/>
        </w:rPr>
        <w:t>قَالَ أَبُو عَبْدِ اللَّهِ ع‏ لَا تَأْكُلْ مِنْ ذَبِيحَةِ الْيَهُودِيِّ وَ لَا تَأْكُلْ فِي آنِيَتِهِمْ.</w:t>
      </w:r>
    </w:p>
    <w:p w:rsidR="00D33700" w:rsidRDefault="00D33700" w:rsidP="004442C3">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این روایات ما.</w:t>
      </w:r>
    </w:p>
    <w:p w:rsidR="00D33700" w:rsidRPr="00DE6281" w:rsidRDefault="00D33700" w:rsidP="00DE6281">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استدلال هم کرده اند به روایاتی که قبلا خواندیم در ذیل آیه</w:t>
      </w:r>
      <w:r w:rsidR="00DE6281">
        <w:rPr>
          <w:rFonts w:ascii="Tahoma" w:eastAsia="Times New Roman" w:hAnsi="Tahoma" w:hint="cs"/>
          <w:sz w:val="24"/>
          <w:rtl/>
        </w:rPr>
        <w:t>:«</w:t>
      </w:r>
      <w:r w:rsidR="00DE6281" w:rsidRPr="00DE6281">
        <w:rPr>
          <w:rFonts w:ascii="Tahoma" w:eastAsia="Times New Roman" w:hAnsi="Tahoma" w:hint="cs"/>
          <w:sz w:val="24"/>
          <w:rtl/>
        </w:rPr>
        <w:t>وَ طَعامُ الَّذينَ أُوتُوا الْكِتابَ حِلٌّ لَكُمْ»</w:t>
      </w:r>
      <w:r w:rsidR="00DE6281" w:rsidRPr="00DE6281">
        <w:rPr>
          <w:rFonts w:ascii="Tahoma" w:eastAsia="Times New Roman" w:hAnsi="Tahoma"/>
          <w:sz w:val="24"/>
          <w:vertAlign w:val="superscript"/>
          <w:rtl/>
        </w:rPr>
        <w:footnoteReference w:id="5"/>
      </w:r>
      <w:r w:rsidR="00DE6281" w:rsidRPr="00DE6281">
        <w:rPr>
          <w:rFonts w:ascii="Tahoma" w:eastAsia="Times New Roman" w:hAnsi="Tahoma" w:hint="cs"/>
          <w:sz w:val="24"/>
          <w:rtl/>
        </w:rPr>
        <w:t xml:space="preserve"> </w:t>
      </w:r>
      <w:r>
        <w:rPr>
          <w:rFonts w:ascii="Tahoma" w:eastAsia="Times New Roman" w:hAnsi="Tahoma" w:hint="cs"/>
          <w:sz w:val="24"/>
          <w:rtl/>
        </w:rPr>
        <w:t>که</w:t>
      </w:r>
      <w:r w:rsidR="00DE6281" w:rsidRPr="00DE6281">
        <w:rPr>
          <w:rFonts w:ascii="Tahoma" w:eastAsia="Times New Roman" w:hAnsi="Tahoma" w:hint="cs"/>
          <w:sz w:val="24"/>
          <w:rtl/>
        </w:rPr>
        <w:t xml:space="preserve"> ا</w:t>
      </w:r>
      <w:r w:rsidR="00DE6281">
        <w:rPr>
          <w:rFonts w:ascii="Tahoma" w:eastAsia="Times New Roman" w:hAnsi="Tahoma" w:hint="cs"/>
          <w:sz w:val="24"/>
          <w:rtl/>
        </w:rPr>
        <w:t>ئ</w:t>
      </w:r>
      <w:r w:rsidR="00DE6281" w:rsidRPr="00DE6281">
        <w:rPr>
          <w:rFonts w:ascii="Tahoma" w:eastAsia="Times New Roman" w:hAnsi="Tahoma" w:hint="cs"/>
          <w:sz w:val="24"/>
          <w:rtl/>
        </w:rPr>
        <w:t>مه علیهم السلام</w:t>
      </w:r>
      <w:r>
        <w:rPr>
          <w:rFonts w:ascii="Tahoma" w:eastAsia="Times New Roman" w:hAnsi="Tahoma" w:hint="cs"/>
          <w:sz w:val="24"/>
          <w:rtl/>
        </w:rPr>
        <w:t xml:space="preserve"> فرمودند</w:t>
      </w:r>
      <w:r w:rsidR="00DE6281" w:rsidRPr="00DE6281">
        <w:rPr>
          <w:rFonts w:ascii="Tahoma" w:eastAsia="Times New Roman" w:hAnsi="Tahoma" w:hint="cs"/>
          <w:sz w:val="24"/>
          <w:rtl/>
        </w:rPr>
        <w:t>:</w:t>
      </w:r>
      <w:r>
        <w:rPr>
          <w:rFonts w:ascii="Tahoma" w:eastAsia="Times New Roman" w:hAnsi="Tahoma" w:hint="cs"/>
          <w:sz w:val="24"/>
          <w:rtl/>
        </w:rPr>
        <w:t xml:space="preserve"> الحبوب و امثالها.</w:t>
      </w:r>
    </w:p>
    <w:p w:rsidR="00D33700" w:rsidRDefault="00D33700" w:rsidP="004442C3">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در حقیقت به مفهوم آن روایات تمسک کردند که اما</w:t>
      </w:r>
      <w:r w:rsidR="00DE6281">
        <w:rPr>
          <w:rFonts w:ascii="Tahoma" w:eastAsia="Times New Roman" w:hAnsi="Tahoma" w:hint="cs"/>
          <w:sz w:val="24"/>
          <w:rtl/>
        </w:rPr>
        <w:t>م</w:t>
      </w:r>
      <w:r>
        <w:rPr>
          <w:rFonts w:ascii="Tahoma" w:eastAsia="Times New Roman" w:hAnsi="Tahoma" w:hint="cs"/>
          <w:sz w:val="24"/>
          <w:rtl/>
        </w:rPr>
        <w:t xml:space="preserve"> </w:t>
      </w:r>
      <w:r w:rsidR="00DE6281">
        <w:rPr>
          <w:rFonts w:ascii="Tahoma" w:eastAsia="Times New Roman" w:hAnsi="Tahoma" w:hint="cs"/>
          <w:sz w:val="24"/>
          <w:rtl/>
        </w:rPr>
        <w:t>علیه السلام اشیاء خشک را نام می</w:t>
      </w:r>
      <w:r w:rsidR="00DE6281">
        <w:rPr>
          <w:rFonts w:ascii="Tahoma" w:eastAsia="Times New Roman" w:hAnsi="Tahoma" w:hint="eastAsia"/>
          <w:sz w:val="24"/>
          <w:rtl/>
        </w:rPr>
        <w:t>‌</w:t>
      </w:r>
      <w:r>
        <w:rPr>
          <w:rFonts w:ascii="Tahoma" w:eastAsia="Times New Roman" w:hAnsi="Tahoma" w:hint="cs"/>
          <w:sz w:val="24"/>
          <w:rtl/>
        </w:rPr>
        <w:t>برند.</w:t>
      </w:r>
    </w:p>
    <w:p w:rsidR="00D33700" w:rsidRDefault="00D33700" w:rsidP="004442C3">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دیگر شاید روایت مهمی را شما پیدا نمی کنید که بتو</w:t>
      </w:r>
      <w:r w:rsidR="004F386D">
        <w:rPr>
          <w:rFonts w:ascii="Tahoma" w:eastAsia="Times New Roman" w:hAnsi="Tahoma" w:hint="cs"/>
          <w:sz w:val="24"/>
          <w:rtl/>
        </w:rPr>
        <w:t>انید به آن در مورد نجاست تمسک کنید.</w:t>
      </w:r>
    </w:p>
    <w:p w:rsidR="004F386D" w:rsidRDefault="004F386D" w:rsidP="004442C3">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ما ان شاء الله فر</w:t>
      </w:r>
      <w:r w:rsidR="00DE6281">
        <w:rPr>
          <w:rFonts w:ascii="Tahoma" w:eastAsia="Times New Roman" w:hAnsi="Tahoma" w:hint="cs"/>
          <w:sz w:val="24"/>
          <w:rtl/>
        </w:rPr>
        <w:t>دا مجددا متن روایت را ملاحظه می</w:t>
      </w:r>
      <w:r w:rsidR="00DE6281">
        <w:rPr>
          <w:rFonts w:ascii="Tahoma" w:eastAsia="Times New Roman" w:hAnsi="Tahoma" w:hint="eastAsia"/>
          <w:sz w:val="24"/>
          <w:rtl/>
        </w:rPr>
        <w:t>‌</w:t>
      </w:r>
      <w:r>
        <w:rPr>
          <w:rFonts w:ascii="Tahoma" w:eastAsia="Times New Roman" w:hAnsi="Tahoma" w:hint="cs"/>
          <w:sz w:val="24"/>
          <w:rtl/>
        </w:rPr>
        <w:t>کنیم.</w:t>
      </w:r>
    </w:p>
    <w:p w:rsidR="004F386D" w:rsidRDefault="004F386D" w:rsidP="00DE6281">
      <w:pPr>
        <w:spacing w:before="100" w:beforeAutospacing="1" w:after="100" w:afterAutospacing="1" w:line="360" w:lineRule="auto"/>
        <w:jc w:val="lowKashida"/>
        <w:rPr>
          <w:rFonts w:ascii="Tahoma" w:eastAsia="Times New Roman" w:hAnsi="Tahoma"/>
          <w:sz w:val="24"/>
          <w:rtl/>
        </w:rPr>
      </w:pPr>
      <w:r>
        <w:rPr>
          <w:rFonts w:ascii="Tahoma" w:eastAsia="Times New Roman" w:hAnsi="Tahoma" w:hint="cs"/>
          <w:sz w:val="24"/>
          <w:rtl/>
        </w:rPr>
        <w:t>با این تقسیم بندی</w:t>
      </w:r>
      <w:r w:rsidR="00DE6281">
        <w:rPr>
          <w:rFonts w:ascii="Tahoma" w:eastAsia="Times New Roman" w:hAnsi="Tahoma" w:hint="cs"/>
          <w:sz w:val="24"/>
          <w:rtl/>
        </w:rPr>
        <w:t xml:space="preserve"> این روایات،</w:t>
      </w:r>
      <w:r>
        <w:rPr>
          <w:rFonts w:ascii="Tahoma" w:eastAsia="Times New Roman" w:hAnsi="Tahoma" w:hint="cs"/>
          <w:sz w:val="24"/>
          <w:rtl/>
        </w:rPr>
        <w:t xml:space="preserve"> هفت عنوان از</w:t>
      </w:r>
      <w:r w:rsidR="00DE6281">
        <w:rPr>
          <w:rFonts w:ascii="Tahoma" w:eastAsia="Times New Roman" w:hAnsi="Tahoma" w:hint="cs"/>
          <w:sz w:val="24"/>
          <w:rtl/>
        </w:rPr>
        <w:t xml:space="preserve"> آن ها می توان</w:t>
      </w:r>
      <w:r>
        <w:rPr>
          <w:rFonts w:ascii="Tahoma" w:eastAsia="Times New Roman" w:hAnsi="Tahoma" w:hint="cs"/>
          <w:sz w:val="24"/>
          <w:rtl/>
        </w:rPr>
        <w:t xml:space="preserve"> استفاده </w:t>
      </w:r>
      <w:r w:rsidR="00DE6281">
        <w:rPr>
          <w:rFonts w:ascii="Tahoma" w:eastAsia="Times New Roman" w:hAnsi="Tahoma" w:hint="cs"/>
          <w:sz w:val="24"/>
          <w:rtl/>
        </w:rPr>
        <w:t>کرد</w:t>
      </w:r>
      <w:r>
        <w:rPr>
          <w:rFonts w:ascii="Tahoma" w:eastAsia="Times New Roman" w:hAnsi="Tahoma" w:hint="cs"/>
          <w:sz w:val="24"/>
          <w:rtl/>
        </w:rPr>
        <w:t>:</w:t>
      </w:r>
    </w:p>
    <w:p w:rsidR="004F386D" w:rsidRDefault="00DE6281" w:rsidP="004F386D">
      <w:pPr>
        <w:pStyle w:val="ListParagraph"/>
        <w:numPr>
          <w:ilvl w:val="0"/>
          <w:numId w:val="26"/>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lastRenderedPageBreak/>
        <w:t xml:space="preserve">روایاتی که </w:t>
      </w:r>
      <w:r w:rsidR="004F386D">
        <w:rPr>
          <w:rFonts w:ascii="Tahoma" w:eastAsia="Times New Roman" w:hAnsi="Tahoma" w:hint="cs"/>
          <w:sz w:val="24"/>
          <w:rtl/>
        </w:rPr>
        <w:t>مربوط به عدم جواز غُسل</w:t>
      </w:r>
      <w:r>
        <w:rPr>
          <w:rFonts w:ascii="Tahoma" w:eastAsia="Times New Roman" w:hAnsi="Tahoma" w:hint="cs"/>
          <w:sz w:val="24"/>
          <w:rtl/>
        </w:rPr>
        <w:t xml:space="preserve"> است</w:t>
      </w:r>
      <w:r w:rsidR="004F386D">
        <w:rPr>
          <w:rFonts w:ascii="Tahoma" w:eastAsia="Times New Roman" w:hAnsi="Tahoma" w:hint="cs"/>
          <w:sz w:val="24"/>
          <w:rtl/>
        </w:rPr>
        <w:t xml:space="preserve"> در جایی که بدن اهل کتاب در آن جا اتصال دارد.</w:t>
      </w:r>
    </w:p>
    <w:p w:rsidR="004F386D" w:rsidRDefault="00DE6281" w:rsidP="004F386D">
      <w:pPr>
        <w:pStyle w:val="ListParagraph"/>
        <w:numPr>
          <w:ilvl w:val="0"/>
          <w:numId w:val="26"/>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روایاتی که مربوط به </w:t>
      </w:r>
      <w:r w:rsidR="004F386D">
        <w:rPr>
          <w:rFonts w:ascii="Tahoma" w:eastAsia="Times New Roman" w:hAnsi="Tahoma" w:hint="cs"/>
          <w:sz w:val="24"/>
          <w:rtl/>
        </w:rPr>
        <w:t>عدم جواز اکل از سؤر آنها</w:t>
      </w:r>
      <w:r>
        <w:rPr>
          <w:rFonts w:ascii="Tahoma" w:eastAsia="Times New Roman" w:hAnsi="Tahoma" w:hint="cs"/>
          <w:sz w:val="24"/>
          <w:rtl/>
        </w:rPr>
        <w:t xml:space="preserve"> است</w:t>
      </w:r>
      <w:r w:rsidR="004F386D">
        <w:rPr>
          <w:rFonts w:ascii="Tahoma" w:eastAsia="Times New Roman" w:hAnsi="Tahoma" w:hint="cs"/>
          <w:sz w:val="24"/>
          <w:rtl/>
        </w:rPr>
        <w:t>.</w:t>
      </w:r>
    </w:p>
    <w:p w:rsidR="004F386D" w:rsidRDefault="00DE6281" w:rsidP="004F386D">
      <w:pPr>
        <w:pStyle w:val="ListParagraph"/>
        <w:numPr>
          <w:ilvl w:val="0"/>
          <w:numId w:val="26"/>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روایاتی که مربوط به </w:t>
      </w:r>
      <w:r w:rsidR="004F386D">
        <w:rPr>
          <w:rFonts w:ascii="Tahoma" w:eastAsia="Times New Roman" w:hAnsi="Tahoma" w:hint="cs"/>
          <w:sz w:val="24"/>
          <w:rtl/>
        </w:rPr>
        <w:t>عدم جواز اکل از ظروف آنها</w:t>
      </w:r>
      <w:r>
        <w:rPr>
          <w:rFonts w:ascii="Tahoma" w:eastAsia="Times New Roman" w:hAnsi="Tahoma" w:hint="cs"/>
          <w:sz w:val="24"/>
          <w:rtl/>
        </w:rPr>
        <w:t xml:space="preserve"> است.</w:t>
      </w:r>
    </w:p>
    <w:p w:rsidR="004F386D" w:rsidRDefault="00DE6281" w:rsidP="004F386D">
      <w:pPr>
        <w:pStyle w:val="ListParagraph"/>
        <w:numPr>
          <w:ilvl w:val="0"/>
          <w:numId w:val="26"/>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روایاتی که مربوط به </w:t>
      </w:r>
      <w:r w:rsidR="004F386D">
        <w:rPr>
          <w:rFonts w:ascii="Tahoma" w:eastAsia="Times New Roman" w:hAnsi="Tahoma" w:hint="cs"/>
          <w:sz w:val="24"/>
          <w:rtl/>
        </w:rPr>
        <w:t>عدم جواز مؤاکله با اهل کتاب</w:t>
      </w:r>
      <w:r>
        <w:rPr>
          <w:rFonts w:ascii="Tahoma" w:eastAsia="Times New Roman" w:hAnsi="Tahoma" w:hint="cs"/>
          <w:sz w:val="24"/>
          <w:rtl/>
        </w:rPr>
        <w:t xml:space="preserve"> است</w:t>
      </w:r>
      <w:r w:rsidR="004F386D">
        <w:rPr>
          <w:rFonts w:ascii="Tahoma" w:eastAsia="Times New Roman" w:hAnsi="Tahoma" w:hint="cs"/>
          <w:sz w:val="24"/>
          <w:rtl/>
        </w:rPr>
        <w:t>.</w:t>
      </w:r>
    </w:p>
    <w:p w:rsidR="004F386D" w:rsidRDefault="00DE6281" w:rsidP="004F386D">
      <w:pPr>
        <w:pStyle w:val="ListParagraph"/>
        <w:numPr>
          <w:ilvl w:val="0"/>
          <w:numId w:val="26"/>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 xml:space="preserve">روایاتی که مربوط به </w:t>
      </w:r>
      <w:r w:rsidR="004F386D">
        <w:rPr>
          <w:rFonts w:ascii="Tahoma" w:eastAsia="Times New Roman" w:hAnsi="Tahoma" w:hint="cs"/>
          <w:sz w:val="24"/>
          <w:rtl/>
        </w:rPr>
        <w:t>عدم</w:t>
      </w:r>
      <w:r>
        <w:rPr>
          <w:rFonts w:ascii="Tahoma" w:eastAsia="Times New Roman" w:hAnsi="Tahoma" w:hint="cs"/>
          <w:sz w:val="24"/>
          <w:rtl/>
        </w:rPr>
        <w:t xml:space="preserve"> جواز نماز و قعود بر فراش آن ها است.</w:t>
      </w:r>
    </w:p>
    <w:p w:rsidR="004F386D" w:rsidRDefault="004F386D" w:rsidP="004F386D">
      <w:pPr>
        <w:pStyle w:val="ListParagraph"/>
        <w:numPr>
          <w:ilvl w:val="0"/>
          <w:numId w:val="26"/>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روایات مربوط به مصافحه</w:t>
      </w:r>
      <w:r w:rsidR="00DE6281">
        <w:rPr>
          <w:rFonts w:ascii="Tahoma" w:eastAsia="Times New Roman" w:hAnsi="Tahoma" w:hint="cs"/>
          <w:sz w:val="24"/>
          <w:rtl/>
        </w:rPr>
        <w:t xml:space="preserve"> با آن ها است.</w:t>
      </w:r>
    </w:p>
    <w:p w:rsidR="00DE6281" w:rsidRPr="00DE6281" w:rsidRDefault="004F386D" w:rsidP="00DE6281">
      <w:pPr>
        <w:pStyle w:val="ListParagraph"/>
        <w:numPr>
          <w:ilvl w:val="0"/>
          <w:numId w:val="26"/>
        </w:num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همین مفهوم روایات حبوب که عرض کردیم.</w:t>
      </w:r>
    </w:p>
    <w:p w:rsidR="00595823" w:rsidRPr="00600930" w:rsidRDefault="0016130A" w:rsidP="00600930">
      <w:pPr>
        <w:spacing w:before="100" w:beforeAutospacing="1" w:after="100" w:afterAutospacing="1" w:line="360" w:lineRule="auto"/>
        <w:jc w:val="lowKashida"/>
        <w:rPr>
          <w:rFonts w:ascii="Tahoma" w:eastAsia="Times New Roman" w:hAnsi="Tahoma"/>
          <w:sz w:val="24"/>
        </w:rPr>
      </w:pPr>
      <w:r>
        <w:rPr>
          <w:rFonts w:ascii="Tahoma" w:eastAsia="Times New Roman" w:hAnsi="Tahoma" w:hint="cs"/>
          <w:sz w:val="24"/>
          <w:rtl/>
        </w:rPr>
        <w:t>و صلی الله علی محمد و اهل بیته الطیبین الطاهرین.</w:t>
      </w:r>
    </w:p>
    <w:sectPr w:rsidR="00595823" w:rsidRPr="00600930"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CFE" w:rsidRDefault="00CD1CFE" w:rsidP="00842A39">
      <w:pPr>
        <w:spacing w:after="0" w:line="240" w:lineRule="auto"/>
      </w:pPr>
      <w:r>
        <w:separator/>
      </w:r>
    </w:p>
  </w:endnote>
  <w:endnote w:type="continuationSeparator" w:id="0">
    <w:p w:rsidR="00CD1CFE" w:rsidRDefault="00CD1CFE"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0A264F">
      <w:rPr>
        <w:rFonts w:ascii="Tahoma" w:hAnsi="Tahoma"/>
        <w:caps/>
        <w:noProof/>
        <w:sz w:val="24"/>
        <w:rtl/>
      </w:rPr>
      <w:t>6</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CFE" w:rsidRDefault="00CD1CFE" w:rsidP="00842A39">
      <w:pPr>
        <w:spacing w:after="0" w:line="240" w:lineRule="auto"/>
      </w:pPr>
      <w:r>
        <w:separator/>
      </w:r>
    </w:p>
  </w:footnote>
  <w:footnote w:type="continuationSeparator" w:id="0">
    <w:p w:rsidR="00CD1CFE" w:rsidRDefault="00CD1CFE" w:rsidP="00842A39">
      <w:pPr>
        <w:spacing w:after="0" w:line="240" w:lineRule="auto"/>
      </w:pPr>
      <w:r>
        <w:continuationSeparator/>
      </w:r>
    </w:p>
  </w:footnote>
  <w:footnote w:id="1">
    <w:p w:rsidR="00E8295A" w:rsidRDefault="00E8295A" w:rsidP="00E8295A">
      <w:pPr>
        <w:pStyle w:val="FootnoteText"/>
        <w:rPr>
          <w:rtl/>
        </w:rPr>
      </w:pPr>
      <w:r>
        <w:rPr>
          <w:rStyle w:val="FootnoteReference"/>
        </w:rPr>
        <w:footnoteRef/>
      </w:r>
      <w:r>
        <w:rPr>
          <w:rtl/>
        </w:rPr>
        <w:t xml:space="preserve"> ( 5)- التهذيب 9- 63- 269، و الاستبصار 4- 81- 302.</w:t>
      </w:r>
    </w:p>
  </w:footnote>
  <w:footnote w:id="2">
    <w:p w:rsidR="004442C3" w:rsidRDefault="004442C3" w:rsidP="004442C3">
      <w:pPr>
        <w:pStyle w:val="FootnoteText"/>
        <w:rPr>
          <w:rtl/>
        </w:rPr>
      </w:pPr>
      <w:r>
        <w:rPr>
          <w:rStyle w:val="FootnoteReference"/>
        </w:rPr>
        <w:footnoteRef/>
      </w:r>
      <w:r>
        <w:rPr>
          <w:rtl/>
        </w:rPr>
        <w:t xml:space="preserve"> ( 5)- في المصدر زيادة- اليهودي و.</w:t>
      </w:r>
    </w:p>
  </w:footnote>
  <w:footnote w:id="3">
    <w:p w:rsidR="004442C3" w:rsidRDefault="004442C3" w:rsidP="004442C3">
      <w:pPr>
        <w:pStyle w:val="FootnoteText"/>
        <w:rPr>
          <w:rtl/>
        </w:rPr>
      </w:pPr>
      <w:r>
        <w:rPr>
          <w:rStyle w:val="FootnoteReference"/>
        </w:rPr>
        <w:footnoteRef/>
      </w:r>
      <w:r>
        <w:rPr>
          <w:rtl/>
        </w:rPr>
        <w:t xml:space="preserve"> ( 6)-" واحدة" و" واحد" ليس في المصدر.</w:t>
      </w:r>
    </w:p>
  </w:footnote>
  <w:footnote w:id="4">
    <w:p w:rsidR="004442C3" w:rsidRDefault="004442C3" w:rsidP="004442C3">
      <w:pPr>
        <w:pStyle w:val="FootnoteText"/>
        <w:rPr>
          <w:rtl/>
        </w:rPr>
      </w:pPr>
      <w:r>
        <w:rPr>
          <w:rStyle w:val="FootnoteReference"/>
        </w:rPr>
        <w:footnoteRef/>
      </w:r>
      <w:r>
        <w:rPr>
          <w:rtl/>
        </w:rPr>
        <w:t xml:space="preserve"> ( 7)-" واحدة" و" واحد" ليس في المصدر.</w:t>
      </w:r>
    </w:p>
  </w:footnote>
  <w:footnote w:id="5">
    <w:p w:rsidR="00DE6281" w:rsidRDefault="00DE6281">
      <w:pPr>
        <w:pStyle w:val="FootnoteText"/>
        <w:rPr>
          <w:rtl/>
        </w:rPr>
      </w:pPr>
      <w:r>
        <w:rPr>
          <w:rStyle w:val="FootnoteReference"/>
        </w:rPr>
        <w:footnoteRef/>
      </w:r>
      <w:r>
        <w:rPr>
          <w:rtl/>
        </w:rPr>
        <w:t xml:space="preserve"> </w:t>
      </w:r>
      <w:r>
        <w:rPr>
          <w:rFonts w:hint="cs"/>
          <w:rtl/>
        </w:rPr>
        <w:t>المائده: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013508">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10BC0617" wp14:editId="18425302">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013508">
          <w:rPr>
            <w:rFonts w:hint="cs"/>
            <w:sz w:val="24"/>
            <w:rtl/>
          </w:rPr>
          <w:t>فقه</w:t>
        </w:r>
        <w:r w:rsidR="00233EE5">
          <w:rPr>
            <w:rFonts w:hint="cs"/>
            <w:sz w:val="24"/>
            <w:rtl/>
          </w:rPr>
          <w:t>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CA5D48"/>
    <w:multiLevelType w:val="hybridMultilevel"/>
    <w:tmpl w:val="C832D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B30B4"/>
    <w:multiLevelType w:val="hybridMultilevel"/>
    <w:tmpl w:val="9B54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910843"/>
    <w:multiLevelType w:val="hybridMultilevel"/>
    <w:tmpl w:val="A3184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BC6E86"/>
    <w:multiLevelType w:val="hybridMultilevel"/>
    <w:tmpl w:val="6402F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251E54"/>
    <w:multiLevelType w:val="hybridMultilevel"/>
    <w:tmpl w:val="6FBAA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052B5B"/>
    <w:multiLevelType w:val="hybridMultilevel"/>
    <w:tmpl w:val="9392E0CC"/>
    <w:lvl w:ilvl="0" w:tplc="A47A7C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2C606A"/>
    <w:multiLevelType w:val="hybridMultilevel"/>
    <w:tmpl w:val="E9CA8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F95B93"/>
    <w:multiLevelType w:val="hybridMultilevel"/>
    <w:tmpl w:val="F54E5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81B1C"/>
    <w:multiLevelType w:val="hybridMultilevel"/>
    <w:tmpl w:val="BDCA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E5A40B8"/>
    <w:multiLevelType w:val="hybridMultilevel"/>
    <w:tmpl w:val="77F68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992D0D"/>
    <w:multiLevelType w:val="hybridMultilevel"/>
    <w:tmpl w:val="D3448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600AE8"/>
    <w:multiLevelType w:val="hybridMultilevel"/>
    <w:tmpl w:val="4CF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4"/>
  </w:num>
  <w:num w:numId="3">
    <w:abstractNumId w:val="13"/>
  </w:num>
  <w:num w:numId="4">
    <w:abstractNumId w:val="8"/>
  </w:num>
  <w:num w:numId="5">
    <w:abstractNumId w:val="11"/>
  </w:num>
  <w:num w:numId="6">
    <w:abstractNumId w:val="4"/>
  </w:num>
  <w:num w:numId="7">
    <w:abstractNumId w:val="16"/>
  </w:num>
  <w:num w:numId="8">
    <w:abstractNumId w:val="23"/>
  </w:num>
  <w:num w:numId="9">
    <w:abstractNumId w:val="0"/>
  </w:num>
  <w:num w:numId="10">
    <w:abstractNumId w:val="10"/>
  </w:num>
  <w:num w:numId="11">
    <w:abstractNumId w:val="15"/>
  </w:num>
  <w:num w:numId="12">
    <w:abstractNumId w:val="20"/>
  </w:num>
  <w:num w:numId="13">
    <w:abstractNumId w:val="1"/>
  </w:num>
  <w:num w:numId="14">
    <w:abstractNumId w:val="5"/>
  </w:num>
  <w:num w:numId="15">
    <w:abstractNumId w:val="25"/>
  </w:num>
  <w:num w:numId="16">
    <w:abstractNumId w:val="19"/>
  </w:num>
  <w:num w:numId="17">
    <w:abstractNumId w:val="7"/>
  </w:num>
  <w:num w:numId="18">
    <w:abstractNumId w:val="12"/>
  </w:num>
  <w:num w:numId="19">
    <w:abstractNumId w:val="9"/>
  </w:num>
  <w:num w:numId="20">
    <w:abstractNumId w:val="18"/>
  </w:num>
  <w:num w:numId="21">
    <w:abstractNumId w:val="17"/>
  </w:num>
  <w:num w:numId="22">
    <w:abstractNumId w:val="2"/>
  </w:num>
  <w:num w:numId="23">
    <w:abstractNumId w:val="6"/>
  </w:num>
  <w:num w:numId="24">
    <w:abstractNumId w:val="21"/>
  </w:num>
  <w:num w:numId="25">
    <w:abstractNumId w:val="3"/>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13508"/>
    <w:rsid w:val="00021025"/>
    <w:rsid w:val="00022053"/>
    <w:rsid w:val="0003155F"/>
    <w:rsid w:val="000316B2"/>
    <w:rsid w:val="00033439"/>
    <w:rsid w:val="00034FF0"/>
    <w:rsid w:val="000477E9"/>
    <w:rsid w:val="000521E5"/>
    <w:rsid w:val="00065B14"/>
    <w:rsid w:val="00075AB7"/>
    <w:rsid w:val="00085160"/>
    <w:rsid w:val="000A264F"/>
    <w:rsid w:val="000A58ED"/>
    <w:rsid w:val="000A79C5"/>
    <w:rsid w:val="000B3902"/>
    <w:rsid w:val="000B418D"/>
    <w:rsid w:val="000B48DA"/>
    <w:rsid w:val="000C3AE8"/>
    <w:rsid w:val="000C7D9D"/>
    <w:rsid w:val="000E45C7"/>
    <w:rsid w:val="000E5E99"/>
    <w:rsid w:val="000F0A4F"/>
    <w:rsid w:val="000F72B4"/>
    <w:rsid w:val="00107E9E"/>
    <w:rsid w:val="00113436"/>
    <w:rsid w:val="00121404"/>
    <w:rsid w:val="001323F2"/>
    <w:rsid w:val="00143822"/>
    <w:rsid w:val="00154B88"/>
    <w:rsid w:val="0016130A"/>
    <w:rsid w:val="0016772D"/>
    <w:rsid w:val="001A7DED"/>
    <w:rsid w:val="001B481C"/>
    <w:rsid w:val="001C073C"/>
    <w:rsid w:val="001D4124"/>
    <w:rsid w:val="001E18B6"/>
    <w:rsid w:val="001E1DD2"/>
    <w:rsid w:val="001F4DAB"/>
    <w:rsid w:val="00233EE5"/>
    <w:rsid w:val="00244282"/>
    <w:rsid w:val="00250A1D"/>
    <w:rsid w:val="00255BA1"/>
    <w:rsid w:val="002613AF"/>
    <w:rsid w:val="002676E3"/>
    <w:rsid w:val="00271AEF"/>
    <w:rsid w:val="0027256D"/>
    <w:rsid w:val="00277402"/>
    <w:rsid w:val="002811C9"/>
    <w:rsid w:val="00281825"/>
    <w:rsid w:val="0028580B"/>
    <w:rsid w:val="002A05A9"/>
    <w:rsid w:val="002A0B26"/>
    <w:rsid w:val="002A2852"/>
    <w:rsid w:val="002A39F6"/>
    <w:rsid w:val="002B19A2"/>
    <w:rsid w:val="002B5D3F"/>
    <w:rsid w:val="002C2D9C"/>
    <w:rsid w:val="002C2E80"/>
    <w:rsid w:val="002E595C"/>
    <w:rsid w:val="002E7ECC"/>
    <w:rsid w:val="003035E9"/>
    <w:rsid w:val="00316ED3"/>
    <w:rsid w:val="00336EA1"/>
    <w:rsid w:val="003642F9"/>
    <w:rsid w:val="00376B73"/>
    <w:rsid w:val="003855A5"/>
    <w:rsid w:val="00386E2F"/>
    <w:rsid w:val="003A4374"/>
    <w:rsid w:val="003B018C"/>
    <w:rsid w:val="003C53E9"/>
    <w:rsid w:val="003D4199"/>
    <w:rsid w:val="003D7059"/>
    <w:rsid w:val="003D7434"/>
    <w:rsid w:val="003E1F20"/>
    <w:rsid w:val="003E318D"/>
    <w:rsid w:val="0041002B"/>
    <w:rsid w:val="00410FA8"/>
    <w:rsid w:val="00423B32"/>
    <w:rsid w:val="00432700"/>
    <w:rsid w:val="004442C3"/>
    <w:rsid w:val="00445CE2"/>
    <w:rsid w:val="00450696"/>
    <w:rsid w:val="004558EC"/>
    <w:rsid w:val="00470745"/>
    <w:rsid w:val="004853E6"/>
    <w:rsid w:val="004A4DB6"/>
    <w:rsid w:val="004B2851"/>
    <w:rsid w:val="004B78BC"/>
    <w:rsid w:val="004E13C2"/>
    <w:rsid w:val="004F0527"/>
    <w:rsid w:val="004F1639"/>
    <w:rsid w:val="004F386D"/>
    <w:rsid w:val="00501EFD"/>
    <w:rsid w:val="00516D03"/>
    <w:rsid w:val="00521ACD"/>
    <w:rsid w:val="005365E1"/>
    <w:rsid w:val="00544F85"/>
    <w:rsid w:val="00545D58"/>
    <w:rsid w:val="00550FC8"/>
    <w:rsid w:val="005531E4"/>
    <w:rsid w:val="00555BA1"/>
    <w:rsid w:val="00556997"/>
    <w:rsid w:val="005613CB"/>
    <w:rsid w:val="00562F93"/>
    <w:rsid w:val="00563DCF"/>
    <w:rsid w:val="00576C8A"/>
    <w:rsid w:val="00595823"/>
    <w:rsid w:val="005B1378"/>
    <w:rsid w:val="005C2211"/>
    <w:rsid w:val="005C5C81"/>
    <w:rsid w:val="005D17AB"/>
    <w:rsid w:val="005D2772"/>
    <w:rsid w:val="005D6CDE"/>
    <w:rsid w:val="005E266A"/>
    <w:rsid w:val="00600930"/>
    <w:rsid w:val="006079A6"/>
    <w:rsid w:val="00610F4C"/>
    <w:rsid w:val="00613118"/>
    <w:rsid w:val="006265BC"/>
    <w:rsid w:val="00630F0A"/>
    <w:rsid w:val="006354C6"/>
    <w:rsid w:val="006568AB"/>
    <w:rsid w:val="0066055A"/>
    <w:rsid w:val="00663F03"/>
    <w:rsid w:val="006657BA"/>
    <w:rsid w:val="00665DE1"/>
    <w:rsid w:val="00682A67"/>
    <w:rsid w:val="006A50CD"/>
    <w:rsid w:val="006B7C34"/>
    <w:rsid w:val="006C530C"/>
    <w:rsid w:val="006E4151"/>
    <w:rsid w:val="006E63FD"/>
    <w:rsid w:val="006F0B90"/>
    <w:rsid w:val="006F2E3F"/>
    <w:rsid w:val="006F502F"/>
    <w:rsid w:val="00706ECD"/>
    <w:rsid w:val="0070719B"/>
    <w:rsid w:val="00711066"/>
    <w:rsid w:val="007216BC"/>
    <w:rsid w:val="00724097"/>
    <w:rsid w:val="00735FA1"/>
    <w:rsid w:val="00741948"/>
    <w:rsid w:val="00767215"/>
    <w:rsid w:val="00773C5C"/>
    <w:rsid w:val="00775B47"/>
    <w:rsid w:val="007A0F71"/>
    <w:rsid w:val="007A341C"/>
    <w:rsid w:val="007A677A"/>
    <w:rsid w:val="007A7797"/>
    <w:rsid w:val="007B41C7"/>
    <w:rsid w:val="007C159F"/>
    <w:rsid w:val="007C53AC"/>
    <w:rsid w:val="007D4B52"/>
    <w:rsid w:val="007D54DF"/>
    <w:rsid w:val="007F47C8"/>
    <w:rsid w:val="008053ED"/>
    <w:rsid w:val="0080714B"/>
    <w:rsid w:val="00814F95"/>
    <w:rsid w:val="00817A5C"/>
    <w:rsid w:val="008203E5"/>
    <w:rsid w:val="008409AA"/>
    <w:rsid w:val="00842A39"/>
    <w:rsid w:val="0084327E"/>
    <w:rsid w:val="00845E87"/>
    <w:rsid w:val="008468F9"/>
    <w:rsid w:val="008516AC"/>
    <w:rsid w:val="00853A7F"/>
    <w:rsid w:val="00855A70"/>
    <w:rsid w:val="00855E61"/>
    <w:rsid w:val="00856188"/>
    <w:rsid w:val="008639F1"/>
    <w:rsid w:val="00883549"/>
    <w:rsid w:val="00887923"/>
    <w:rsid w:val="008A4F8E"/>
    <w:rsid w:val="008A61A4"/>
    <w:rsid w:val="008B0292"/>
    <w:rsid w:val="008C3436"/>
    <w:rsid w:val="009040C0"/>
    <w:rsid w:val="00904CE3"/>
    <w:rsid w:val="00924323"/>
    <w:rsid w:val="00931957"/>
    <w:rsid w:val="009349F8"/>
    <w:rsid w:val="009360B6"/>
    <w:rsid w:val="00940D35"/>
    <w:rsid w:val="009414A4"/>
    <w:rsid w:val="00947750"/>
    <w:rsid w:val="00966611"/>
    <w:rsid w:val="00966A71"/>
    <w:rsid w:val="00997BA1"/>
    <w:rsid w:val="009A0EF9"/>
    <w:rsid w:val="009D31C6"/>
    <w:rsid w:val="009D3395"/>
    <w:rsid w:val="00A11AE2"/>
    <w:rsid w:val="00A32F93"/>
    <w:rsid w:val="00A71F50"/>
    <w:rsid w:val="00A73690"/>
    <w:rsid w:val="00A8016B"/>
    <w:rsid w:val="00A8588B"/>
    <w:rsid w:val="00A96762"/>
    <w:rsid w:val="00AB0E89"/>
    <w:rsid w:val="00AB3423"/>
    <w:rsid w:val="00AB691B"/>
    <w:rsid w:val="00AD169A"/>
    <w:rsid w:val="00AD1DB8"/>
    <w:rsid w:val="00AD2553"/>
    <w:rsid w:val="00AD7A59"/>
    <w:rsid w:val="00AF192F"/>
    <w:rsid w:val="00B06F95"/>
    <w:rsid w:val="00B331A9"/>
    <w:rsid w:val="00B33F9D"/>
    <w:rsid w:val="00B371F1"/>
    <w:rsid w:val="00B47A46"/>
    <w:rsid w:val="00B558C0"/>
    <w:rsid w:val="00B7083B"/>
    <w:rsid w:val="00B8084E"/>
    <w:rsid w:val="00B852F1"/>
    <w:rsid w:val="00B90B8D"/>
    <w:rsid w:val="00BA1B65"/>
    <w:rsid w:val="00BA3EB6"/>
    <w:rsid w:val="00BC03A6"/>
    <w:rsid w:val="00BD27C7"/>
    <w:rsid w:val="00BE56DF"/>
    <w:rsid w:val="00BE6CB9"/>
    <w:rsid w:val="00C01F2B"/>
    <w:rsid w:val="00C31046"/>
    <w:rsid w:val="00C44C81"/>
    <w:rsid w:val="00C46D2A"/>
    <w:rsid w:val="00C56C53"/>
    <w:rsid w:val="00C663A5"/>
    <w:rsid w:val="00C814F4"/>
    <w:rsid w:val="00C8773E"/>
    <w:rsid w:val="00C95B1E"/>
    <w:rsid w:val="00CA60B6"/>
    <w:rsid w:val="00CA675C"/>
    <w:rsid w:val="00CA7EF7"/>
    <w:rsid w:val="00CD1CFE"/>
    <w:rsid w:val="00CE07D7"/>
    <w:rsid w:val="00CE3E1A"/>
    <w:rsid w:val="00D0173E"/>
    <w:rsid w:val="00D034E6"/>
    <w:rsid w:val="00D33700"/>
    <w:rsid w:val="00D5255F"/>
    <w:rsid w:val="00D938A9"/>
    <w:rsid w:val="00DB1421"/>
    <w:rsid w:val="00DE4084"/>
    <w:rsid w:val="00DE5B9A"/>
    <w:rsid w:val="00DE6281"/>
    <w:rsid w:val="00DF5C93"/>
    <w:rsid w:val="00DF7399"/>
    <w:rsid w:val="00E03B2D"/>
    <w:rsid w:val="00E14EEC"/>
    <w:rsid w:val="00E167EC"/>
    <w:rsid w:val="00E31060"/>
    <w:rsid w:val="00E347CC"/>
    <w:rsid w:val="00E352EB"/>
    <w:rsid w:val="00E41827"/>
    <w:rsid w:val="00E440CD"/>
    <w:rsid w:val="00E7793F"/>
    <w:rsid w:val="00E8295A"/>
    <w:rsid w:val="00E916B6"/>
    <w:rsid w:val="00EA430F"/>
    <w:rsid w:val="00EA79A1"/>
    <w:rsid w:val="00EB24F1"/>
    <w:rsid w:val="00EB28A1"/>
    <w:rsid w:val="00EB5EE6"/>
    <w:rsid w:val="00EB65B6"/>
    <w:rsid w:val="00EB678A"/>
    <w:rsid w:val="00EB79AC"/>
    <w:rsid w:val="00EC4300"/>
    <w:rsid w:val="00EE073E"/>
    <w:rsid w:val="00EE26A8"/>
    <w:rsid w:val="00EF175E"/>
    <w:rsid w:val="00F040B3"/>
    <w:rsid w:val="00F12733"/>
    <w:rsid w:val="00F17EF3"/>
    <w:rsid w:val="00F2366D"/>
    <w:rsid w:val="00F3269F"/>
    <w:rsid w:val="00F3303E"/>
    <w:rsid w:val="00F44CC0"/>
    <w:rsid w:val="00F47625"/>
    <w:rsid w:val="00F5766D"/>
    <w:rsid w:val="00F63688"/>
    <w:rsid w:val="00F73D96"/>
    <w:rsid w:val="00F94469"/>
    <w:rsid w:val="00F94EB2"/>
    <w:rsid w:val="00F9560C"/>
    <w:rsid w:val="00FB2C89"/>
    <w:rsid w:val="00FC2F40"/>
    <w:rsid w:val="00FD0065"/>
    <w:rsid w:val="00FD2B3C"/>
    <w:rsid w:val="00FE4A76"/>
    <w:rsid w:val="00FE4BFF"/>
    <w:rsid w:val="00FF22FE"/>
    <w:rsid w:val="00FF4A4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4434">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0920294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43395480">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00017358">
      <w:bodyDiv w:val="1"/>
      <w:marLeft w:val="0"/>
      <w:marRight w:val="0"/>
      <w:marTop w:val="0"/>
      <w:marBottom w:val="0"/>
      <w:divBdr>
        <w:top w:val="none" w:sz="0" w:space="0" w:color="auto"/>
        <w:left w:val="none" w:sz="0" w:space="0" w:color="auto"/>
        <w:bottom w:val="none" w:sz="0" w:space="0" w:color="auto"/>
        <w:right w:val="none" w:sz="0" w:space="0" w:color="auto"/>
      </w:divBdr>
    </w:div>
    <w:div w:id="261571726">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79339194">
      <w:bodyDiv w:val="1"/>
      <w:marLeft w:val="0"/>
      <w:marRight w:val="0"/>
      <w:marTop w:val="0"/>
      <w:marBottom w:val="0"/>
      <w:divBdr>
        <w:top w:val="none" w:sz="0" w:space="0" w:color="auto"/>
        <w:left w:val="none" w:sz="0" w:space="0" w:color="auto"/>
        <w:bottom w:val="none" w:sz="0" w:space="0" w:color="auto"/>
        <w:right w:val="none" w:sz="0" w:space="0" w:color="auto"/>
      </w:divBdr>
    </w:div>
    <w:div w:id="312179416">
      <w:bodyDiv w:val="1"/>
      <w:marLeft w:val="0"/>
      <w:marRight w:val="0"/>
      <w:marTop w:val="0"/>
      <w:marBottom w:val="0"/>
      <w:divBdr>
        <w:top w:val="none" w:sz="0" w:space="0" w:color="auto"/>
        <w:left w:val="none" w:sz="0" w:space="0" w:color="auto"/>
        <w:bottom w:val="none" w:sz="0" w:space="0" w:color="auto"/>
        <w:right w:val="none" w:sz="0" w:space="0" w:color="auto"/>
      </w:divBdr>
    </w:div>
    <w:div w:id="341975491">
      <w:bodyDiv w:val="1"/>
      <w:marLeft w:val="0"/>
      <w:marRight w:val="0"/>
      <w:marTop w:val="0"/>
      <w:marBottom w:val="0"/>
      <w:divBdr>
        <w:top w:val="none" w:sz="0" w:space="0" w:color="auto"/>
        <w:left w:val="none" w:sz="0" w:space="0" w:color="auto"/>
        <w:bottom w:val="none" w:sz="0" w:space="0" w:color="auto"/>
        <w:right w:val="none" w:sz="0" w:space="0" w:color="auto"/>
      </w:divBdr>
    </w:div>
    <w:div w:id="348141450">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77121754">
      <w:bodyDiv w:val="1"/>
      <w:marLeft w:val="0"/>
      <w:marRight w:val="0"/>
      <w:marTop w:val="0"/>
      <w:marBottom w:val="0"/>
      <w:divBdr>
        <w:top w:val="none" w:sz="0" w:space="0" w:color="auto"/>
        <w:left w:val="none" w:sz="0" w:space="0" w:color="auto"/>
        <w:bottom w:val="none" w:sz="0" w:space="0" w:color="auto"/>
        <w:right w:val="none" w:sz="0" w:space="0" w:color="auto"/>
      </w:divBdr>
    </w:div>
    <w:div w:id="456334614">
      <w:bodyDiv w:val="1"/>
      <w:marLeft w:val="0"/>
      <w:marRight w:val="0"/>
      <w:marTop w:val="0"/>
      <w:marBottom w:val="0"/>
      <w:divBdr>
        <w:top w:val="none" w:sz="0" w:space="0" w:color="auto"/>
        <w:left w:val="none" w:sz="0" w:space="0" w:color="auto"/>
        <w:bottom w:val="none" w:sz="0" w:space="0" w:color="auto"/>
        <w:right w:val="none" w:sz="0" w:space="0" w:color="auto"/>
      </w:divBdr>
    </w:div>
    <w:div w:id="520049696">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73646979">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46923216">
      <w:bodyDiv w:val="1"/>
      <w:marLeft w:val="0"/>
      <w:marRight w:val="0"/>
      <w:marTop w:val="0"/>
      <w:marBottom w:val="0"/>
      <w:divBdr>
        <w:top w:val="none" w:sz="0" w:space="0" w:color="auto"/>
        <w:left w:val="none" w:sz="0" w:space="0" w:color="auto"/>
        <w:bottom w:val="none" w:sz="0" w:space="0" w:color="auto"/>
        <w:right w:val="none" w:sz="0" w:space="0" w:color="auto"/>
      </w:divBdr>
    </w:div>
    <w:div w:id="748383280">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782530373">
      <w:bodyDiv w:val="1"/>
      <w:marLeft w:val="0"/>
      <w:marRight w:val="0"/>
      <w:marTop w:val="0"/>
      <w:marBottom w:val="0"/>
      <w:divBdr>
        <w:top w:val="none" w:sz="0" w:space="0" w:color="auto"/>
        <w:left w:val="none" w:sz="0" w:space="0" w:color="auto"/>
        <w:bottom w:val="none" w:sz="0" w:space="0" w:color="auto"/>
        <w:right w:val="none" w:sz="0" w:space="0" w:color="auto"/>
      </w:divBdr>
    </w:div>
    <w:div w:id="886377025">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50747681">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07965833">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15449966">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69085541">
      <w:bodyDiv w:val="1"/>
      <w:marLeft w:val="0"/>
      <w:marRight w:val="0"/>
      <w:marTop w:val="0"/>
      <w:marBottom w:val="0"/>
      <w:divBdr>
        <w:top w:val="none" w:sz="0" w:space="0" w:color="auto"/>
        <w:left w:val="none" w:sz="0" w:space="0" w:color="auto"/>
        <w:bottom w:val="none" w:sz="0" w:space="0" w:color="auto"/>
        <w:right w:val="none" w:sz="0" w:space="0" w:color="auto"/>
      </w:divBdr>
    </w:div>
    <w:div w:id="1486239677">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01063375">
      <w:bodyDiv w:val="1"/>
      <w:marLeft w:val="0"/>
      <w:marRight w:val="0"/>
      <w:marTop w:val="0"/>
      <w:marBottom w:val="0"/>
      <w:divBdr>
        <w:top w:val="none" w:sz="0" w:space="0" w:color="auto"/>
        <w:left w:val="none" w:sz="0" w:space="0" w:color="auto"/>
        <w:bottom w:val="none" w:sz="0" w:space="0" w:color="auto"/>
        <w:right w:val="none" w:sz="0" w:space="0" w:color="auto"/>
      </w:divBdr>
    </w:div>
    <w:div w:id="1603997300">
      <w:bodyDiv w:val="1"/>
      <w:marLeft w:val="0"/>
      <w:marRight w:val="0"/>
      <w:marTop w:val="0"/>
      <w:marBottom w:val="0"/>
      <w:divBdr>
        <w:top w:val="none" w:sz="0" w:space="0" w:color="auto"/>
        <w:left w:val="none" w:sz="0" w:space="0" w:color="auto"/>
        <w:bottom w:val="none" w:sz="0" w:space="0" w:color="auto"/>
        <w:right w:val="none" w:sz="0" w:space="0" w:color="auto"/>
      </w:divBdr>
    </w:div>
    <w:div w:id="1621064745">
      <w:bodyDiv w:val="1"/>
      <w:marLeft w:val="0"/>
      <w:marRight w:val="0"/>
      <w:marTop w:val="0"/>
      <w:marBottom w:val="0"/>
      <w:divBdr>
        <w:top w:val="none" w:sz="0" w:space="0" w:color="auto"/>
        <w:left w:val="none" w:sz="0" w:space="0" w:color="auto"/>
        <w:bottom w:val="none" w:sz="0" w:space="0" w:color="auto"/>
        <w:right w:val="none" w:sz="0" w:space="0" w:color="auto"/>
      </w:divBdr>
    </w:div>
    <w:div w:id="165337045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750535650">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245132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894196760">
      <w:bodyDiv w:val="1"/>
      <w:marLeft w:val="0"/>
      <w:marRight w:val="0"/>
      <w:marTop w:val="0"/>
      <w:marBottom w:val="0"/>
      <w:divBdr>
        <w:top w:val="none" w:sz="0" w:space="0" w:color="auto"/>
        <w:left w:val="none" w:sz="0" w:space="0" w:color="auto"/>
        <w:bottom w:val="none" w:sz="0" w:space="0" w:color="auto"/>
        <w:right w:val="none" w:sz="0" w:space="0" w:color="auto"/>
      </w:divBdr>
    </w:div>
    <w:div w:id="1901744803">
      <w:bodyDiv w:val="1"/>
      <w:marLeft w:val="0"/>
      <w:marRight w:val="0"/>
      <w:marTop w:val="0"/>
      <w:marBottom w:val="0"/>
      <w:divBdr>
        <w:top w:val="none" w:sz="0" w:space="0" w:color="auto"/>
        <w:left w:val="none" w:sz="0" w:space="0" w:color="auto"/>
        <w:bottom w:val="none" w:sz="0" w:space="0" w:color="auto"/>
        <w:right w:val="none" w:sz="0" w:space="0" w:color="auto"/>
      </w:divBdr>
    </w:div>
    <w:div w:id="1940604887">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1918136">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75426262">
      <w:bodyDiv w:val="1"/>
      <w:marLeft w:val="0"/>
      <w:marRight w:val="0"/>
      <w:marTop w:val="0"/>
      <w:marBottom w:val="0"/>
      <w:divBdr>
        <w:top w:val="none" w:sz="0" w:space="0" w:color="auto"/>
        <w:left w:val="none" w:sz="0" w:space="0" w:color="auto"/>
        <w:bottom w:val="none" w:sz="0" w:space="0" w:color="auto"/>
        <w:right w:val="none" w:sz="0" w:space="0" w:color="auto"/>
      </w:divBdr>
    </w:div>
    <w:div w:id="212946788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10819"/>
    <w:rsid w:val="000635A0"/>
    <w:rsid w:val="000D2451"/>
    <w:rsid w:val="002F5D24"/>
    <w:rsid w:val="00393CD3"/>
    <w:rsid w:val="00433F39"/>
    <w:rsid w:val="004525B8"/>
    <w:rsid w:val="004A1473"/>
    <w:rsid w:val="004A486A"/>
    <w:rsid w:val="004D3992"/>
    <w:rsid w:val="004D5114"/>
    <w:rsid w:val="00523AC7"/>
    <w:rsid w:val="005A3285"/>
    <w:rsid w:val="00657553"/>
    <w:rsid w:val="006A6FF9"/>
    <w:rsid w:val="00700960"/>
    <w:rsid w:val="0072715E"/>
    <w:rsid w:val="007423F4"/>
    <w:rsid w:val="007A6D2A"/>
    <w:rsid w:val="007D49BE"/>
    <w:rsid w:val="007F6C7C"/>
    <w:rsid w:val="00853532"/>
    <w:rsid w:val="0094224D"/>
    <w:rsid w:val="00972CBD"/>
    <w:rsid w:val="009E1DE2"/>
    <w:rsid w:val="00AF6C22"/>
    <w:rsid w:val="00AF7426"/>
    <w:rsid w:val="00CE307C"/>
    <w:rsid w:val="00D53DF4"/>
    <w:rsid w:val="00D87E95"/>
    <w:rsid w:val="00DE0D1A"/>
    <w:rsid w:val="00E128FB"/>
    <w:rsid w:val="00E35FC5"/>
    <w:rsid w:val="00E433CA"/>
    <w:rsid w:val="00E46984"/>
    <w:rsid w:val="00EE12A8"/>
    <w:rsid w:val="00EE4165"/>
    <w:rsid w:val="00EF43B5"/>
    <w:rsid w:val="00F272DF"/>
    <w:rsid w:val="00FA6D59"/>
    <w:rsid w:val="00FF7F1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7E1CD-CAF9-4841-A93E-532BB6F0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6</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خارج فقه_استاد عندلیب همدانی</vt:lpstr>
    </vt:vector>
  </TitlesOfParts>
  <Company/>
  <LinksUpToDate>false</LinksUpToDate>
  <CharactersWithSpaces>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فقه_استاد عندلیب همدانی</dc:title>
  <dc:subject/>
  <dc:creator>mojtaba</dc:creator>
  <cp:keywords/>
  <dc:description/>
  <cp:lastModifiedBy>mojtaba</cp:lastModifiedBy>
  <cp:revision>232</cp:revision>
  <cp:lastPrinted>2017-01-08T11:02:00Z</cp:lastPrinted>
  <dcterms:created xsi:type="dcterms:W3CDTF">2016-10-30T11:44:00Z</dcterms:created>
  <dcterms:modified xsi:type="dcterms:W3CDTF">2017-02-21T04:13:00Z</dcterms:modified>
</cp:coreProperties>
</file>